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2A39" w14:textId="77777777" w:rsidR="00164600" w:rsidRDefault="00000000">
      <w:pPr>
        <w:spacing w:beforeLines="50" w:before="156"/>
        <w:jc w:val="center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20</w:t>
      </w:r>
      <w:r>
        <w:rPr>
          <w:rFonts w:ascii="仿宋" w:eastAsia="仿宋" w:hAnsi="仿宋" w:hint="eastAsia"/>
          <w:b/>
          <w:sz w:val="28"/>
          <w:szCs w:val="28"/>
        </w:rPr>
        <w:t>24年研究生“科学道德和学风建设宣讲教育”系列活动评分标准</w:t>
      </w:r>
    </w:p>
    <w:p w14:paraId="77346035" w14:textId="77777777" w:rsidR="00164600" w:rsidRDefault="00000000">
      <w:pPr>
        <w:spacing w:beforeLines="50" w:before="156" w:afterLines="50" w:after="156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活动学院</w:t>
      </w:r>
      <w:r>
        <w:rPr>
          <w:rFonts w:ascii="仿宋" w:eastAsia="仿宋" w:hAnsi="仿宋"/>
          <w:b/>
          <w:sz w:val="24"/>
        </w:rPr>
        <w:t>：</w:t>
      </w:r>
      <w:r>
        <w:rPr>
          <w:rFonts w:ascii="仿宋" w:eastAsia="仿宋" w:hAnsi="仿宋" w:hint="eastAsia"/>
          <w:b/>
          <w:sz w:val="24"/>
        </w:rPr>
        <w:t xml:space="preserve">   </w:t>
      </w:r>
      <w:r>
        <w:rPr>
          <w:rFonts w:ascii="仿宋" w:eastAsia="仿宋" w:hAnsi="仿宋"/>
          <w:b/>
          <w:sz w:val="24"/>
        </w:rPr>
        <w:t xml:space="preserve">          </w:t>
      </w:r>
      <w:r>
        <w:rPr>
          <w:rFonts w:ascii="仿宋" w:eastAsia="仿宋" w:hAnsi="仿宋" w:hint="eastAsia"/>
          <w:b/>
          <w:sz w:val="24"/>
        </w:rPr>
        <w:t xml:space="preserve">    活动时间： </w:t>
      </w:r>
      <w:r>
        <w:rPr>
          <w:rFonts w:ascii="仿宋" w:eastAsia="仿宋" w:hAnsi="仿宋"/>
          <w:b/>
          <w:sz w:val="24"/>
        </w:rPr>
        <w:t xml:space="preserve">             </w:t>
      </w:r>
      <w:r>
        <w:rPr>
          <w:rFonts w:ascii="仿宋" w:eastAsia="仿宋" w:hAnsi="仿宋" w:hint="eastAsia"/>
          <w:b/>
          <w:sz w:val="24"/>
        </w:rPr>
        <w:t>评分人：</w:t>
      </w:r>
    </w:p>
    <w:tbl>
      <w:tblPr>
        <w:tblW w:w="8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2"/>
        <w:gridCol w:w="2693"/>
        <w:gridCol w:w="2699"/>
        <w:gridCol w:w="759"/>
      </w:tblGrid>
      <w:tr w:rsidR="00164600" w14:paraId="2DB672E2" w14:textId="77777777">
        <w:trPr>
          <w:trHeight w:val="384"/>
          <w:jc w:val="center"/>
        </w:trPr>
        <w:tc>
          <w:tcPr>
            <w:tcW w:w="1277" w:type="dxa"/>
            <w:vAlign w:val="center"/>
          </w:tcPr>
          <w:p w14:paraId="1A52FFEF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 w:val="22"/>
              </w:rPr>
            </w:pPr>
            <w:r>
              <w:rPr>
                <w:rFonts w:ascii="仿宋" w:eastAsia="仿宋" w:hAnsi="仿宋"/>
                <w:b/>
                <w:sz w:val="22"/>
              </w:rPr>
              <w:t>评分项目</w:t>
            </w:r>
          </w:p>
        </w:tc>
        <w:tc>
          <w:tcPr>
            <w:tcW w:w="1412" w:type="dxa"/>
            <w:vAlign w:val="center"/>
          </w:tcPr>
          <w:p w14:paraId="53728CAE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 w:val="22"/>
              </w:rPr>
            </w:pPr>
            <w:r>
              <w:rPr>
                <w:rFonts w:ascii="仿宋" w:eastAsia="仿宋" w:hAnsi="仿宋"/>
                <w:b/>
                <w:sz w:val="22"/>
              </w:rPr>
              <w:t>考察点</w:t>
            </w:r>
          </w:p>
          <w:p w14:paraId="5149D4C2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 w:val="22"/>
              </w:rPr>
            </w:pPr>
            <w:r>
              <w:rPr>
                <w:rFonts w:ascii="仿宋" w:eastAsia="仿宋" w:hAnsi="仿宋"/>
                <w:b/>
                <w:sz w:val="22"/>
              </w:rPr>
              <w:t>及分值</w:t>
            </w:r>
          </w:p>
        </w:tc>
        <w:tc>
          <w:tcPr>
            <w:tcW w:w="5392" w:type="dxa"/>
            <w:gridSpan w:val="2"/>
            <w:vAlign w:val="center"/>
          </w:tcPr>
          <w:p w14:paraId="54A9670F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 w:val="22"/>
              </w:rPr>
            </w:pPr>
            <w:r>
              <w:rPr>
                <w:rFonts w:ascii="仿宋" w:eastAsia="仿宋" w:hAnsi="仿宋"/>
                <w:b/>
                <w:sz w:val="22"/>
              </w:rPr>
              <w:t>具体描述及分值</w:t>
            </w:r>
          </w:p>
        </w:tc>
        <w:tc>
          <w:tcPr>
            <w:tcW w:w="759" w:type="dxa"/>
            <w:vAlign w:val="center"/>
          </w:tcPr>
          <w:p w14:paraId="0A0A7C0B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b/>
                <w:sz w:val="22"/>
              </w:rPr>
            </w:pPr>
            <w:r>
              <w:rPr>
                <w:rFonts w:ascii="仿宋" w:eastAsia="仿宋" w:hAnsi="仿宋"/>
                <w:b/>
                <w:sz w:val="22"/>
              </w:rPr>
              <w:t>分数</w:t>
            </w:r>
          </w:p>
        </w:tc>
      </w:tr>
      <w:tr w:rsidR="00164600" w14:paraId="4BA285BE" w14:textId="77777777">
        <w:trPr>
          <w:trHeight w:val="165"/>
          <w:jc w:val="center"/>
        </w:trPr>
        <w:tc>
          <w:tcPr>
            <w:tcW w:w="1277" w:type="dxa"/>
            <w:vMerge w:val="restart"/>
            <w:vAlign w:val="center"/>
          </w:tcPr>
          <w:p w14:paraId="5A238C73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活动设计</w:t>
            </w:r>
          </w:p>
        </w:tc>
        <w:tc>
          <w:tcPr>
            <w:tcW w:w="1412" w:type="dxa"/>
            <w:vMerge w:val="restart"/>
            <w:vAlign w:val="center"/>
          </w:tcPr>
          <w:p w14:paraId="20993837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活动主题</w:t>
            </w:r>
          </w:p>
          <w:p w14:paraId="078A8AFB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（10分）</w:t>
            </w:r>
          </w:p>
        </w:tc>
        <w:tc>
          <w:tcPr>
            <w:tcW w:w="5392" w:type="dxa"/>
            <w:gridSpan w:val="2"/>
            <w:vAlign w:val="center"/>
          </w:tcPr>
          <w:p w14:paraId="4FC36F9A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活动目的明确且鲜明地突出了“</w:t>
            </w:r>
            <w:r>
              <w:rPr>
                <w:rFonts w:ascii="仿宋" w:eastAsia="仿宋" w:hAnsi="仿宋" w:hint="eastAsia"/>
                <w:szCs w:val="21"/>
              </w:rPr>
              <w:t>科学道德和学风建设</w:t>
            </w:r>
            <w:r>
              <w:rPr>
                <w:rFonts w:ascii="仿宋" w:eastAsia="仿宋" w:hAnsi="仿宋"/>
                <w:szCs w:val="21"/>
              </w:rPr>
              <w:t>”的活动主题。（7-10分）</w:t>
            </w:r>
          </w:p>
        </w:tc>
        <w:tc>
          <w:tcPr>
            <w:tcW w:w="759" w:type="dxa"/>
            <w:vMerge w:val="restart"/>
            <w:vAlign w:val="center"/>
          </w:tcPr>
          <w:p w14:paraId="6EC08700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184AB891" w14:textId="77777777">
        <w:trPr>
          <w:trHeight w:val="195"/>
          <w:jc w:val="center"/>
        </w:trPr>
        <w:tc>
          <w:tcPr>
            <w:tcW w:w="1277" w:type="dxa"/>
            <w:vMerge/>
            <w:vAlign w:val="center"/>
          </w:tcPr>
          <w:p w14:paraId="54BCA17C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3885127E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2DDCBE88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活动目的较为明确并切合“</w:t>
            </w:r>
            <w:r>
              <w:rPr>
                <w:rFonts w:ascii="仿宋" w:eastAsia="仿宋" w:hAnsi="仿宋" w:hint="eastAsia"/>
                <w:szCs w:val="21"/>
              </w:rPr>
              <w:t>科学道德和学风建设</w:t>
            </w:r>
            <w:r>
              <w:rPr>
                <w:rFonts w:ascii="仿宋" w:eastAsia="仿宋" w:hAnsi="仿宋"/>
                <w:szCs w:val="21"/>
              </w:rPr>
              <w:t>”的主题。（3-6分）</w:t>
            </w:r>
          </w:p>
        </w:tc>
        <w:tc>
          <w:tcPr>
            <w:tcW w:w="759" w:type="dxa"/>
            <w:vMerge/>
            <w:vAlign w:val="center"/>
          </w:tcPr>
          <w:p w14:paraId="727D7E9D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007FF668" w14:textId="77777777">
        <w:trPr>
          <w:trHeight w:val="375"/>
          <w:jc w:val="center"/>
        </w:trPr>
        <w:tc>
          <w:tcPr>
            <w:tcW w:w="1277" w:type="dxa"/>
            <w:vMerge/>
            <w:vAlign w:val="center"/>
          </w:tcPr>
          <w:p w14:paraId="5B2E34CF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076A6CB6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31B96065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活动目的不明确且“</w:t>
            </w:r>
            <w:r>
              <w:rPr>
                <w:rFonts w:ascii="仿宋" w:eastAsia="仿宋" w:hAnsi="仿宋" w:hint="eastAsia"/>
                <w:szCs w:val="21"/>
              </w:rPr>
              <w:t>科学道德和学风建设</w:t>
            </w:r>
            <w:r>
              <w:rPr>
                <w:rFonts w:ascii="仿宋" w:eastAsia="仿宋" w:hAnsi="仿宋"/>
                <w:szCs w:val="21"/>
              </w:rPr>
              <w:t>”的主题不鲜明。（0-2分）</w:t>
            </w:r>
          </w:p>
        </w:tc>
        <w:tc>
          <w:tcPr>
            <w:tcW w:w="759" w:type="dxa"/>
            <w:vMerge/>
            <w:vAlign w:val="center"/>
          </w:tcPr>
          <w:p w14:paraId="2AD74F3F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4AA75612" w14:textId="77777777">
        <w:trPr>
          <w:trHeight w:val="315"/>
          <w:jc w:val="center"/>
        </w:trPr>
        <w:tc>
          <w:tcPr>
            <w:tcW w:w="1277" w:type="dxa"/>
            <w:vMerge/>
            <w:vAlign w:val="center"/>
          </w:tcPr>
          <w:p w14:paraId="0858959C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010E1D66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活动方案</w:t>
            </w:r>
          </w:p>
          <w:p w14:paraId="5AAFC939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/>
                <w:sz w:val="24"/>
              </w:rPr>
              <w:t>分）</w:t>
            </w:r>
          </w:p>
        </w:tc>
        <w:tc>
          <w:tcPr>
            <w:tcW w:w="5392" w:type="dxa"/>
            <w:gridSpan w:val="2"/>
            <w:vAlign w:val="center"/>
          </w:tcPr>
          <w:p w14:paraId="4DF0F1E2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方案设计严密周到，形式新颖、富有创新</w:t>
            </w:r>
            <w:r>
              <w:rPr>
                <w:rFonts w:ascii="仿宋" w:eastAsia="仿宋" w:hAnsi="仿宋" w:hint="eastAsia"/>
                <w:szCs w:val="21"/>
              </w:rPr>
              <w:t>。（</w:t>
            </w:r>
            <w:r>
              <w:rPr>
                <w:rFonts w:ascii="仿宋" w:eastAsia="仿宋" w:hAnsi="仿宋"/>
                <w:szCs w:val="21"/>
              </w:rPr>
              <w:t>8-10分）</w:t>
            </w:r>
          </w:p>
        </w:tc>
        <w:tc>
          <w:tcPr>
            <w:tcW w:w="759" w:type="dxa"/>
            <w:vMerge w:val="restart"/>
            <w:vAlign w:val="center"/>
          </w:tcPr>
          <w:p w14:paraId="45BC6866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1642FF7A" w14:textId="77777777">
        <w:trPr>
          <w:trHeight w:val="195"/>
          <w:jc w:val="center"/>
        </w:trPr>
        <w:tc>
          <w:tcPr>
            <w:tcW w:w="1277" w:type="dxa"/>
            <w:vMerge/>
            <w:vAlign w:val="center"/>
          </w:tcPr>
          <w:p w14:paraId="7D98F5E3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64435CFB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56CCE6D6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方案设计较为合理周全，但活动形式没有创意。</w:t>
            </w:r>
            <w:r>
              <w:rPr>
                <w:rFonts w:ascii="仿宋" w:eastAsia="仿宋" w:hAnsi="仿宋" w:hint="eastAsia"/>
                <w:szCs w:val="21"/>
              </w:rPr>
              <w:t>提供O</w:t>
            </w:r>
            <w:r>
              <w:rPr>
                <w:rFonts w:ascii="仿宋" w:eastAsia="仿宋" w:hAnsi="仿宋"/>
                <w:szCs w:val="21"/>
              </w:rPr>
              <w:t>A</w:t>
            </w:r>
            <w:r>
              <w:rPr>
                <w:rFonts w:ascii="仿宋" w:eastAsia="仿宋" w:hAnsi="仿宋" w:hint="eastAsia"/>
                <w:szCs w:val="21"/>
              </w:rPr>
              <w:t>申请表。</w:t>
            </w:r>
            <w:r>
              <w:rPr>
                <w:rFonts w:ascii="仿宋" w:eastAsia="仿宋" w:hAnsi="仿宋"/>
                <w:szCs w:val="21"/>
              </w:rPr>
              <w:t>（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  <w:r>
              <w:rPr>
                <w:rFonts w:ascii="仿宋" w:eastAsia="仿宋" w:hAnsi="仿宋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38616AF4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754D0533" w14:textId="77777777">
        <w:trPr>
          <w:trHeight w:val="102"/>
          <w:jc w:val="center"/>
        </w:trPr>
        <w:tc>
          <w:tcPr>
            <w:tcW w:w="1277" w:type="dxa"/>
            <w:vMerge/>
            <w:vAlign w:val="center"/>
          </w:tcPr>
          <w:p w14:paraId="1C591991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68C4A7AD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27C8AA1B" w14:textId="1CD12803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方案设计</w:t>
            </w:r>
            <w:r>
              <w:rPr>
                <w:rFonts w:ascii="仿宋" w:eastAsia="仿宋" w:hAnsi="仿宋" w:hint="eastAsia"/>
                <w:szCs w:val="21"/>
              </w:rPr>
              <w:t>不够</w:t>
            </w:r>
            <w:r>
              <w:rPr>
                <w:rFonts w:ascii="仿宋" w:eastAsia="仿宋" w:hAnsi="仿宋"/>
                <w:szCs w:val="21"/>
              </w:rPr>
              <w:t>细致，</w:t>
            </w:r>
            <w:r>
              <w:rPr>
                <w:rFonts w:ascii="仿宋" w:eastAsia="仿宋" w:hAnsi="仿宋" w:hint="eastAsia"/>
                <w:szCs w:val="21"/>
              </w:rPr>
              <w:t>部分内容缺失</w:t>
            </w:r>
            <w:r>
              <w:rPr>
                <w:rFonts w:ascii="仿宋" w:eastAsia="仿宋" w:hAnsi="仿宋"/>
                <w:szCs w:val="21"/>
              </w:rPr>
              <w:t>，形式缺乏新意，基本与活动内容相符。（</w:t>
            </w:r>
            <w:r>
              <w:rPr>
                <w:rFonts w:ascii="仿宋" w:eastAsia="仿宋" w:hAnsi="仿宋" w:hint="eastAsia"/>
                <w:szCs w:val="21"/>
              </w:rPr>
              <w:t>0-4</w:t>
            </w:r>
            <w:r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225B9941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1229804D" w14:textId="77777777">
        <w:trPr>
          <w:trHeight w:val="165"/>
          <w:jc w:val="center"/>
        </w:trPr>
        <w:tc>
          <w:tcPr>
            <w:tcW w:w="1277" w:type="dxa"/>
            <w:vMerge w:val="restart"/>
            <w:vAlign w:val="center"/>
          </w:tcPr>
          <w:p w14:paraId="7CF00FB7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活动实施</w:t>
            </w:r>
          </w:p>
        </w:tc>
        <w:tc>
          <w:tcPr>
            <w:tcW w:w="1412" w:type="dxa"/>
            <w:vMerge w:val="restart"/>
            <w:vAlign w:val="center"/>
          </w:tcPr>
          <w:p w14:paraId="2F2241D4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准备工作</w:t>
            </w:r>
          </w:p>
          <w:p w14:paraId="4FBC6F42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（10分）</w:t>
            </w:r>
          </w:p>
        </w:tc>
        <w:tc>
          <w:tcPr>
            <w:tcW w:w="5392" w:type="dxa"/>
            <w:gridSpan w:val="2"/>
            <w:vAlign w:val="center"/>
          </w:tcPr>
          <w:p w14:paraId="365DAFF3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活动开展三天前及时提交策划</w:t>
            </w:r>
            <w:r>
              <w:rPr>
                <w:rFonts w:ascii="仿宋" w:eastAsia="仿宋" w:hAnsi="仿宋" w:hint="eastAsia"/>
                <w:szCs w:val="21"/>
              </w:rPr>
              <w:t>及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O</w:t>
            </w:r>
            <w:r>
              <w:rPr>
                <w:rFonts w:ascii="仿宋" w:eastAsia="仿宋" w:hAnsi="仿宋"/>
                <w:color w:val="FF0000"/>
                <w:szCs w:val="21"/>
              </w:rPr>
              <w:t>A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系统办结导出的《中南财经政法大学报告会、研讨会、讲座、论坛审批表》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/>
                <w:szCs w:val="21"/>
              </w:rPr>
              <w:t>相关物资及时</w:t>
            </w:r>
            <w:r>
              <w:rPr>
                <w:rFonts w:ascii="仿宋" w:eastAsia="仿宋" w:hAnsi="仿宋" w:hint="eastAsia"/>
                <w:szCs w:val="21"/>
                <w:lang w:eastAsia="zh-Hans"/>
              </w:rPr>
              <w:t>准备</w:t>
            </w:r>
            <w:r>
              <w:rPr>
                <w:rFonts w:ascii="仿宋" w:eastAsia="仿宋" w:hAnsi="仿宋"/>
                <w:szCs w:val="21"/>
              </w:rPr>
              <w:t>到位，并</w:t>
            </w:r>
            <w:r>
              <w:rPr>
                <w:rFonts w:ascii="仿宋" w:eastAsia="仿宋" w:hAnsi="仿宋" w:hint="eastAsia"/>
                <w:szCs w:val="21"/>
              </w:rPr>
              <w:t>开展</w:t>
            </w:r>
            <w:r>
              <w:rPr>
                <w:rFonts w:ascii="仿宋" w:eastAsia="仿宋" w:hAnsi="仿宋"/>
                <w:szCs w:val="21"/>
              </w:rPr>
              <w:t>充足的宣传</w:t>
            </w:r>
            <w:r>
              <w:rPr>
                <w:rFonts w:ascii="仿宋" w:eastAsia="仿宋" w:hAnsi="仿宋" w:hint="eastAsia"/>
                <w:szCs w:val="21"/>
              </w:rPr>
              <w:t>工作（海报、展板、横幅鼓励电子化，备注：按照财务部相关要求，确需印制，报销时需提供经单位党政负责人双签的报告</w:t>
            </w:r>
            <w:r>
              <w:rPr>
                <w:rFonts w:ascii="仿宋" w:eastAsia="仿宋" w:hAnsi="仿宋"/>
                <w:szCs w:val="21"/>
              </w:rPr>
              <w:t>)。（7-10分）</w:t>
            </w:r>
          </w:p>
        </w:tc>
        <w:tc>
          <w:tcPr>
            <w:tcW w:w="759" w:type="dxa"/>
            <w:vMerge w:val="restart"/>
            <w:vAlign w:val="center"/>
          </w:tcPr>
          <w:p w14:paraId="1543F765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40086560" w14:textId="77777777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16338E02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4538122F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1088AFFE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活动前</w:t>
            </w:r>
            <w:r>
              <w:rPr>
                <w:rFonts w:ascii="仿宋" w:eastAsia="仿宋" w:hAnsi="仿宋" w:hint="eastAsia"/>
                <w:szCs w:val="21"/>
              </w:rPr>
              <w:t>提交</w:t>
            </w:r>
            <w:r>
              <w:rPr>
                <w:rFonts w:ascii="仿宋" w:eastAsia="仿宋" w:hAnsi="仿宋"/>
                <w:szCs w:val="21"/>
              </w:rPr>
              <w:t>策划</w:t>
            </w:r>
            <w:r>
              <w:rPr>
                <w:rFonts w:ascii="仿宋" w:eastAsia="仿宋" w:hAnsi="仿宋" w:hint="eastAsia"/>
                <w:szCs w:val="21"/>
              </w:rPr>
              <w:t>及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O</w:t>
            </w:r>
            <w:r>
              <w:rPr>
                <w:rFonts w:ascii="仿宋" w:eastAsia="仿宋" w:hAnsi="仿宋"/>
                <w:color w:val="FF0000"/>
                <w:szCs w:val="21"/>
              </w:rPr>
              <w:t>A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系统办结导出的《中南财经政法大学报告会、研讨会、讲座、论坛审批表》</w:t>
            </w:r>
            <w:r>
              <w:rPr>
                <w:rFonts w:ascii="仿宋" w:eastAsia="仿宋" w:hAnsi="仿宋" w:hint="eastAsia"/>
                <w:szCs w:val="21"/>
              </w:rPr>
              <w:t>，</w:t>
            </w:r>
            <w:r>
              <w:rPr>
                <w:rFonts w:ascii="仿宋" w:eastAsia="仿宋" w:hAnsi="仿宋"/>
                <w:szCs w:val="21"/>
              </w:rPr>
              <w:t>相关物资基本</w:t>
            </w:r>
            <w:r>
              <w:rPr>
                <w:rFonts w:ascii="仿宋" w:eastAsia="仿宋" w:hAnsi="仿宋" w:hint="eastAsia"/>
                <w:szCs w:val="21"/>
                <w:lang w:eastAsia="zh-Hans"/>
              </w:rPr>
              <w:t>准备</w:t>
            </w:r>
            <w:r>
              <w:rPr>
                <w:rFonts w:ascii="仿宋" w:eastAsia="仿宋" w:hAnsi="仿宋"/>
                <w:szCs w:val="21"/>
              </w:rPr>
              <w:t>到位，有</w:t>
            </w:r>
            <w:r>
              <w:rPr>
                <w:rFonts w:ascii="仿宋" w:eastAsia="仿宋" w:hAnsi="仿宋" w:hint="eastAsia"/>
                <w:szCs w:val="21"/>
              </w:rPr>
              <w:t>宣传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（新媒体、海报、宣传页有一到两项）</w:t>
            </w:r>
            <w:r>
              <w:rPr>
                <w:rFonts w:ascii="仿宋" w:eastAsia="仿宋" w:hAnsi="仿宋"/>
                <w:szCs w:val="21"/>
              </w:rPr>
              <w:t>。（3-6分）</w:t>
            </w:r>
          </w:p>
        </w:tc>
        <w:tc>
          <w:tcPr>
            <w:tcW w:w="759" w:type="dxa"/>
            <w:vMerge/>
            <w:vAlign w:val="center"/>
          </w:tcPr>
          <w:p w14:paraId="3535F475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2278DEED" w14:textId="77777777">
        <w:trPr>
          <w:trHeight w:val="135"/>
          <w:jc w:val="center"/>
        </w:trPr>
        <w:tc>
          <w:tcPr>
            <w:tcW w:w="1277" w:type="dxa"/>
            <w:vMerge/>
            <w:vAlign w:val="center"/>
          </w:tcPr>
          <w:p w14:paraId="58345C49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254A48B6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292B6790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活动前未提交策划</w:t>
            </w:r>
            <w:r>
              <w:rPr>
                <w:rFonts w:ascii="仿宋" w:eastAsia="仿宋" w:hAnsi="仿宋" w:hint="eastAsia"/>
                <w:szCs w:val="21"/>
              </w:rPr>
              <w:t>及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O</w:t>
            </w:r>
            <w:r>
              <w:rPr>
                <w:rFonts w:ascii="仿宋" w:eastAsia="仿宋" w:hAnsi="仿宋"/>
                <w:color w:val="FF0000"/>
                <w:szCs w:val="21"/>
              </w:rPr>
              <w:t>A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系统办结导出的《中南财经政法大学报告会、研讨会、讲座、论坛审批表》</w:t>
            </w:r>
            <w:r>
              <w:rPr>
                <w:rFonts w:ascii="仿宋" w:eastAsia="仿宋" w:hAnsi="仿宋"/>
                <w:szCs w:val="21"/>
              </w:rPr>
              <w:t>，宣传不及时或者没有</w:t>
            </w:r>
            <w:r>
              <w:rPr>
                <w:rFonts w:ascii="仿宋" w:eastAsia="仿宋" w:hAnsi="仿宋" w:hint="eastAsia"/>
                <w:szCs w:val="21"/>
              </w:rPr>
              <w:t>宣传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（新媒体、海报、宣传页均没有）</w:t>
            </w:r>
            <w:r>
              <w:rPr>
                <w:rFonts w:ascii="仿宋" w:eastAsia="仿宋" w:hAnsi="仿宋"/>
                <w:color w:val="000000"/>
                <w:szCs w:val="21"/>
              </w:rPr>
              <w:t>。</w:t>
            </w:r>
            <w:r>
              <w:rPr>
                <w:rFonts w:ascii="仿宋" w:eastAsia="仿宋" w:hAnsi="仿宋"/>
                <w:szCs w:val="21"/>
              </w:rPr>
              <w:t>（0-2分）</w:t>
            </w:r>
          </w:p>
        </w:tc>
        <w:tc>
          <w:tcPr>
            <w:tcW w:w="759" w:type="dxa"/>
            <w:vMerge/>
            <w:vAlign w:val="center"/>
          </w:tcPr>
          <w:p w14:paraId="5CE3341C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676CD9EA" w14:textId="77777777">
        <w:trPr>
          <w:trHeight w:val="135"/>
          <w:jc w:val="center"/>
        </w:trPr>
        <w:tc>
          <w:tcPr>
            <w:tcW w:w="1277" w:type="dxa"/>
            <w:vMerge/>
            <w:vAlign w:val="center"/>
          </w:tcPr>
          <w:p w14:paraId="7D995356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1FA0C628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组织工作</w:t>
            </w:r>
          </w:p>
          <w:p w14:paraId="0F4644DA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（10分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5392" w:type="dxa"/>
            <w:gridSpan w:val="2"/>
            <w:vAlign w:val="center"/>
          </w:tcPr>
          <w:p w14:paraId="3463DEA2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活动基本与策划一致，现场秩序良好，没有明显的纰漏。（</w:t>
            </w:r>
            <w:r>
              <w:rPr>
                <w:rFonts w:ascii="仿宋" w:eastAsia="仿宋" w:hAnsi="仿宋" w:hint="eastAsia"/>
                <w:szCs w:val="21"/>
              </w:rPr>
              <w:t>7-10</w:t>
            </w:r>
            <w:r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 w:val="restart"/>
            <w:vAlign w:val="center"/>
          </w:tcPr>
          <w:p w14:paraId="66CC4FB3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5418F8B3" w14:textId="77777777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2F7F8649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0E1AEADF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27015939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活动大致与策划一致，现场秩序一般，出现纰漏之后，采取了有效的应急措施。（</w:t>
            </w:r>
            <w:r>
              <w:rPr>
                <w:rFonts w:ascii="仿宋" w:eastAsia="仿宋" w:hAnsi="仿宋" w:hint="eastAsia"/>
                <w:szCs w:val="21"/>
              </w:rPr>
              <w:t>3-6</w:t>
            </w:r>
            <w:r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41744799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3A231418" w14:textId="77777777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6D1CAA50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4C1042D7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6CB83141" w14:textId="1EF8C02D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活动与策划不一致，现场</w:t>
            </w:r>
            <w:r>
              <w:rPr>
                <w:rFonts w:ascii="仿宋" w:eastAsia="仿宋" w:hAnsi="仿宋" w:hint="eastAsia"/>
                <w:szCs w:val="21"/>
              </w:rPr>
              <w:t>秩序较为</w:t>
            </w:r>
            <w:r>
              <w:rPr>
                <w:rFonts w:ascii="仿宋" w:eastAsia="仿宋" w:hAnsi="仿宋"/>
                <w:szCs w:val="21"/>
              </w:rPr>
              <w:t>混乱，</w:t>
            </w:r>
            <w:r>
              <w:rPr>
                <w:rFonts w:ascii="仿宋" w:eastAsia="仿宋" w:hAnsi="仿宋" w:hint="eastAsia"/>
                <w:szCs w:val="21"/>
              </w:rPr>
              <w:t>存在一定</w:t>
            </w:r>
            <w:r>
              <w:rPr>
                <w:rFonts w:ascii="仿宋" w:eastAsia="仿宋" w:hAnsi="仿宋"/>
                <w:szCs w:val="21"/>
              </w:rPr>
              <w:t>纰漏。（</w:t>
            </w:r>
            <w:r>
              <w:rPr>
                <w:rFonts w:ascii="仿宋" w:eastAsia="仿宋" w:hAnsi="仿宋" w:hint="eastAsia"/>
                <w:szCs w:val="21"/>
              </w:rPr>
              <w:t>0-2</w:t>
            </w:r>
            <w:r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46F671DF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3C723B93" w14:textId="77777777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33A87E3C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7B8F19FE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现场签到</w:t>
            </w:r>
          </w:p>
          <w:p w14:paraId="5444A24F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（10分）</w:t>
            </w:r>
          </w:p>
        </w:tc>
        <w:tc>
          <w:tcPr>
            <w:tcW w:w="5392" w:type="dxa"/>
            <w:gridSpan w:val="2"/>
            <w:vAlign w:val="center"/>
          </w:tcPr>
          <w:p w14:paraId="3D6CA114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签到人数达学院申报活动人数90%以上（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7-</w:t>
            </w:r>
            <w:r>
              <w:rPr>
                <w:rFonts w:ascii="仿宋" w:eastAsia="仿宋" w:hAnsi="仿宋"/>
                <w:color w:val="000000"/>
                <w:szCs w:val="21"/>
              </w:rPr>
              <w:t>1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Cs w:val="21"/>
              </w:rPr>
              <w:t>分）</w:t>
            </w:r>
          </w:p>
        </w:tc>
        <w:tc>
          <w:tcPr>
            <w:tcW w:w="759" w:type="dxa"/>
            <w:vMerge w:val="restart"/>
            <w:vAlign w:val="center"/>
          </w:tcPr>
          <w:p w14:paraId="01C1C97B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6BC4BA3A" w14:textId="77777777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138FF5A3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0881AC93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29FCC2C3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签到人数达学院申报活动人数60%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（含）-</w:t>
            </w:r>
            <w:r>
              <w:rPr>
                <w:rFonts w:ascii="仿宋" w:eastAsia="仿宋" w:hAnsi="仿宋"/>
                <w:color w:val="000000"/>
                <w:szCs w:val="21"/>
              </w:rPr>
              <w:t>9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0%（不含）</w:t>
            </w:r>
            <w:r>
              <w:rPr>
                <w:rFonts w:ascii="仿宋" w:eastAsia="仿宋" w:hAnsi="仿宋"/>
                <w:color w:val="000000"/>
                <w:szCs w:val="21"/>
              </w:rPr>
              <w:t>（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3-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6</w:t>
            </w:r>
            <w:r>
              <w:rPr>
                <w:rFonts w:ascii="仿宋" w:eastAsia="仿宋" w:hAnsi="仿宋"/>
                <w:color w:val="000000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0B3556FF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7DE4B94A" w14:textId="77777777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3AD1D6FE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330FFEC7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48733B99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签到人数未达学院申报活动人数60%（</w:t>
            </w:r>
            <w:r>
              <w:rPr>
                <w:rFonts w:ascii="仿宋" w:eastAsia="仿宋" w:hAnsi="仿宋" w:hint="eastAsia"/>
                <w:szCs w:val="21"/>
              </w:rPr>
              <w:t>0-2</w:t>
            </w:r>
            <w:r>
              <w:rPr>
                <w:rFonts w:ascii="仿宋" w:eastAsia="仿宋" w:hAnsi="仿宋"/>
                <w:szCs w:val="21"/>
              </w:rPr>
              <w:t>分）</w:t>
            </w:r>
          </w:p>
        </w:tc>
        <w:tc>
          <w:tcPr>
            <w:tcW w:w="759" w:type="dxa"/>
            <w:vMerge/>
            <w:vAlign w:val="center"/>
          </w:tcPr>
          <w:p w14:paraId="0448CCB0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582FF598" w14:textId="77777777">
        <w:trPr>
          <w:trHeight w:val="132"/>
          <w:jc w:val="center"/>
        </w:trPr>
        <w:tc>
          <w:tcPr>
            <w:tcW w:w="1277" w:type="dxa"/>
            <w:vMerge/>
            <w:vAlign w:val="center"/>
          </w:tcPr>
          <w:p w14:paraId="3A942F9F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Align w:val="center"/>
          </w:tcPr>
          <w:p w14:paraId="77E20C55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</w:t>
            </w:r>
            <w:r>
              <w:rPr>
                <w:rFonts w:ascii="仿宋" w:eastAsia="仿宋" w:hAnsi="仿宋" w:hint="eastAsia"/>
                <w:sz w:val="24"/>
              </w:rPr>
              <w:t>规模</w:t>
            </w:r>
          </w:p>
          <w:p w14:paraId="610A336D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（10分）</w:t>
            </w:r>
          </w:p>
        </w:tc>
        <w:tc>
          <w:tcPr>
            <w:tcW w:w="2693" w:type="dxa"/>
            <w:vAlign w:val="center"/>
          </w:tcPr>
          <w:p w14:paraId="78206F41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各学院</w:t>
            </w:r>
            <w:r>
              <w:rPr>
                <w:rFonts w:ascii="仿宋" w:eastAsia="仿宋" w:hAnsi="仿宋"/>
                <w:color w:val="000000"/>
                <w:szCs w:val="21"/>
              </w:rPr>
              <w:t>202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  <w:r>
              <w:rPr>
                <w:rFonts w:ascii="仿宋" w:eastAsia="仿宋" w:hAnsi="仿宋"/>
                <w:color w:val="000000"/>
                <w:szCs w:val="21"/>
              </w:rPr>
              <w:t>级人数：</w:t>
            </w:r>
          </w:p>
          <w:p w14:paraId="05B4014B" w14:textId="47F143F5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马克思主义学院47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0E80CFE2" w14:textId="0DC8DE08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哲学院81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5BD7FCAB" w14:textId="3FDCDDCB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经济学院181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6A8FEDCC" w14:textId="17357869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财政税务学院210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1B9B47F6" w14:textId="79590871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金融学院452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4F3415E7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文澜学院24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5793411E" w14:textId="67A5CF02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法学院394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195D391E" w14:textId="5F037896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刑事司法学院109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62915F68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法律硕士教育中心406；</w:t>
            </w:r>
          </w:p>
          <w:p w14:paraId="294CF723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国家治理学院42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6C581D75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法与经济学院44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0AABD7F3" w14:textId="1B5D10EB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工商管理学院613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79F9EE0A" w14:textId="5C5ED54C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会计学院395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3D2AF955" w14:textId="3D299ADA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公共管理学院279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7A1F3656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外国语学院103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59E0E5B4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新闻与文化传播学院95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3FE909C2" w14:textId="002679A9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统计与数学学院202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1A28C0BA" w14:textId="6A41221D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信息工程学院163</w:t>
            </w:r>
            <w:r>
              <w:rPr>
                <w:rFonts w:ascii="仿宋" w:eastAsia="仿宋" w:hAnsi="仿宋"/>
                <w:color w:val="000000"/>
                <w:szCs w:val="21"/>
              </w:rPr>
              <w:t>；</w:t>
            </w:r>
          </w:p>
          <w:p w14:paraId="5A5CBDCD" w14:textId="61657521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知识产权学院53。</w:t>
            </w:r>
          </w:p>
          <w:p w14:paraId="24C35673" w14:textId="26420438" w:rsidR="00164600" w:rsidRDefault="001646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2699" w:type="dxa"/>
            <w:vAlign w:val="center"/>
          </w:tcPr>
          <w:p w14:paraId="57BFCA96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1.</w:t>
            </w:r>
            <w:r>
              <w:rPr>
                <w:rFonts w:ascii="仿宋" w:eastAsia="仿宋" w:hAnsi="仿宋"/>
                <w:color w:val="000000"/>
                <w:szCs w:val="21"/>
              </w:rPr>
              <w:t>参与人数达学院人数80%以上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（参与人数由评分人员在活动开始后</w:t>
            </w:r>
            <w:r>
              <w:rPr>
                <w:rFonts w:ascii="仿宋" w:eastAsia="仿宋" w:hAnsi="仿宋"/>
                <w:color w:val="FF0000"/>
                <w:szCs w:val="21"/>
              </w:rPr>
              <w:t>5分钟、活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动开展中途以及活动结束时分别记录人数取平均值）</w:t>
            </w:r>
            <w:r>
              <w:rPr>
                <w:rFonts w:ascii="仿宋" w:eastAsia="仿宋" w:hAnsi="仿宋"/>
                <w:color w:val="000000"/>
                <w:szCs w:val="21"/>
              </w:rPr>
              <w:t>（8-10分）</w:t>
            </w:r>
          </w:p>
          <w:p w14:paraId="0D140642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2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.</w:t>
            </w:r>
            <w:r>
              <w:rPr>
                <w:rFonts w:ascii="仿宋" w:eastAsia="仿宋" w:hAnsi="仿宋"/>
                <w:color w:val="000000"/>
                <w:szCs w:val="21"/>
              </w:rPr>
              <w:t>参与人数达学院人数60%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（含）</w:t>
            </w:r>
            <w:r>
              <w:rPr>
                <w:rFonts w:ascii="仿宋" w:eastAsia="仿宋" w:hAnsi="仿宋"/>
                <w:color w:val="000000"/>
                <w:szCs w:val="21"/>
              </w:rPr>
              <w:t>-80%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（不含）</w:t>
            </w:r>
            <w:r>
              <w:rPr>
                <w:rFonts w:ascii="仿宋" w:eastAsia="仿宋" w:hAnsi="仿宋"/>
                <w:color w:val="000000"/>
                <w:szCs w:val="21"/>
              </w:rPr>
              <w:t>（6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-</w:t>
            </w:r>
            <w:r>
              <w:rPr>
                <w:rFonts w:ascii="仿宋" w:eastAsia="仿宋" w:hAnsi="仿宋"/>
                <w:color w:val="000000"/>
                <w:szCs w:val="21"/>
              </w:rPr>
              <w:t>8分）</w:t>
            </w:r>
          </w:p>
          <w:p w14:paraId="4E81E2E0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3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>
              <w:rPr>
                <w:rFonts w:ascii="仿宋" w:eastAsia="仿宋" w:hAnsi="仿宋"/>
                <w:szCs w:val="21"/>
              </w:rPr>
              <w:t>参与人数未达学院人数60%（0-5分）</w:t>
            </w:r>
          </w:p>
        </w:tc>
        <w:tc>
          <w:tcPr>
            <w:tcW w:w="759" w:type="dxa"/>
            <w:vAlign w:val="center"/>
          </w:tcPr>
          <w:p w14:paraId="6BE4E158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7AFC8A69" w14:textId="77777777">
        <w:trPr>
          <w:trHeight w:val="165"/>
          <w:jc w:val="center"/>
        </w:trPr>
        <w:tc>
          <w:tcPr>
            <w:tcW w:w="1277" w:type="dxa"/>
            <w:vMerge w:val="restart"/>
            <w:vAlign w:val="center"/>
          </w:tcPr>
          <w:p w14:paraId="0F8D05FE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活动效果</w:t>
            </w:r>
          </w:p>
        </w:tc>
        <w:tc>
          <w:tcPr>
            <w:tcW w:w="1412" w:type="dxa"/>
            <w:vMerge w:val="restart"/>
            <w:vAlign w:val="center"/>
          </w:tcPr>
          <w:p w14:paraId="398DB59F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活动反响</w:t>
            </w:r>
          </w:p>
          <w:p w14:paraId="4E649DBB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（10分）</w:t>
            </w:r>
          </w:p>
        </w:tc>
        <w:tc>
          <w:tcPr>
            <w:tcW w:w="5392" w:type="dxa"/>
            <w:gridSpan w:val="2"/>
            <w:vAlign w:val="center"/>
          </w:tcPr>
          <w:p w14:paraId="6AADB7BE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基本达到活动目的，并且参与者</w:t>
            </w:r>
            <w:r>
              <w:rPr>
                <w:rFonts w:ascii="仿宋" w:eastAsia="仿宋" w:hAnsi="仿宋" w:hint="eastAsia"/>
                <w:szCs w:val="21"/>
              </w:rPr>
              <w:t>在活动中参与感强、互动性高</w:t>
            </w:r>
            <w:r>
              <w:rPr>
                <w:rFonts w:ascii="仿宋" w:eastAsia="仿宋" w:hAnsi="仿宋"/>
                <w:szCs w:val="21"/>
              </w:rPr>
              <w:t>。（7-10分）</w:t>
            </w:r>
          </w:p>
        </w:tc>
        <w:tc>
          <w:tcPr>
            <w:tcW w:w="759" w:type="dxa"/>
            <w:vMerge w:val="restart"/>
            <w:vAlign w:val="center"/>
          </w:tcPr>
          <w:p w14:paraId="5F439600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6E53D7BC" w14:textId="77777777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7B2F8064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1B32EFD5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3FC367D6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活动的开展有一定的积极作用，参与者</w:t>
            </w:r>
            <w:r>
              <w:rPr>
                <w:rFonts w:ascii="仿宋" w:eastAsia="仿宋" w:hAnsi="仿宋" w:hint="eastAsia"/>
                <w:szCs w:val="21"/>
              </w:rPr>
              <w:t>在活动中参与性一般、互动性一般</w:t>
            </w:r>
            <w:r>
              <w:rPr>
                <w:rFonts w:ascii="仿宋" w:eastAsia="仿宋" w:hAnsi="仿宋"/>
                <w:szCs w:val="21"/>
              </w:rPr>
              <w:t>。（3-6分）</w:t>
            </w:r>
          </w:p>
        </w:tc>
        <w:tc>
          <w:tcPr>
            <w:tcW w:w="759" w:type="dxa"/>
            <w:vMerge/>
            <w:vAlign w:val="center"/>
          </w:tcPr>
          <w:p w14:paraId="01D2A562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4A082FBA" w14:textId="77777777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04BBA600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3305F8DF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教育意义</w:t>
            </w:r>
          </w:p>
          <w:p w14:paraId="7B609E73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/>
                <w:sz w:val="24"/>
              </w:rPr>
              <w:t>分）</w:t>
            </w:r>
          </w:p>
        </w:tc>
        <w:tc>
          <w:tcPr>
            <w:tcW w:w="5392" w:type="dxa"/>
            <w:gridSpan w:val="2"/>
            <w:vAlign w:val="center"/>
          </w:tcPr>
          <w:p w14:paraId="7AD2C39F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本次活动对研究生遵守学术道德、摒弃学术不端行为有非常积极的教育意义，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一定数量的参与同学能够积极给予质量较高的活动反馈</w:t>
            </w:r>
            <w:r>
              <w:rPr>
                <w:rFonts w:ascii="仿宋" w:eastAsia="仿宋" w:hAnsi="仿宋" w:hint="eastAsia"/>
                <w:szCs w:val="21"/>
              </w:rPr>
              <w:t>。（11-15分）</w:t>
            </w:r>
          </w:p>
        </w:tc>
        <w:tc>
          <w:tcPr>
            <w:tcW w:w="759" w:type="dxa"/>
            <w:vMerge w:val="restart"/>
            <w:vAlign w:val="center"/>
          </w:tcPr>
          <w:p w14:paraId="65D1A5A0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757F3FB1" w14:textId="77777777">
        <w:trPr>
          <w:trHeight w:val="120"/>
          <w:jc w:val="center"/>
        </w:trPr>
        <w:tc>
          <w:tcPr>
            <w:tcW w:w="1277" w:type="dxa"/>
            <w:vMerge/>
            <w:vAlign w:val="center"/>
          </w:tcPr>
          <w:p w14:paraId="3C881157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49D0D9C3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19753C61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本次活动对研究生遵守学术道德、摒弃学术不端行为有一定的教育意义，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较少的参与同学能够给予活动反馈且质量一般</w:t>
            </w:r>
            <w:r>
              <w:rPr>
                <w:rFonts w:ascii="仿宋" w:eastAsia="仿宋" w:hAnsi="仿宋" w:hint="eastAsia"/>
                <w:szCs w:val="21"/>
              </w:rPr>
              <w:t>。（6-10分）</w:t>
            </w:r>
          </w:p>
        </w:tc>
        <w:tc>
          <w:tcPr>
            <w:tcW w:w="759" w:type="dxa"/>
            <w:vMerge/>
            <w:vAlign w:val="center"/>
          </w:tcPr>
          <w:p w14:paraId="15CFD7D9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32E1B580" w14:textId="77777777">
        <w:trPr>
          <w:trHeight w:val="120"/>
          <w:jc w:val="center"/>
        </w:trPr>
        <w:tc>
          <w:tcPr>
            <w:tcW w:w="1277" w:type="dxa"/>
            <w:vMerge/>
            <w:vAlign w:val="center"/>
          </w:tcPr>
          <w:p w14:paraId="311D525F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7D65FCA2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6EB9F2B0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本次活动对研究生遵守学术道德、摒弃学术不端行为的教育意义较弱，</w:t>
            </w:r>
            <w:r>
              <w:rPr>
                <w:rFonts w:ascii="仿宋" w:eastAsia="仿宋" w:hAnsi="仿宋" w:hint="eastAsia"/>
                <w:color w:val="FF0000"/>
                <w:szCs w:val="21"/>
              </w:rPr>
              <w:t>未给予活动反馈</w:t>
            </w:r>
            <w:r>
              <w:rPr>
                <w:rFonts w:ascii="仿宋" w:eastAsia="仿宋" w:hAnsi="仿宋" w:hint="eastAsia"/>
                <w:szCs w:val="21"/>
              </w:rPr>
              <w:t>。（0-5分）</w:t>
            </w:r>
          </w:p>
        </w:tc>
        <w:tc>
          <w:tcPr>
            <w:tcW w:w="759" w:type="dxa"/>
            <w:vAlign w:val="center"/>
          </w:tcPr>
          <w:p w14:paraId="063E9851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261BF4C1" w14:textId="77777777">
        <w:trPr>
          <w:trHeight w:val="147"/>
          <w:jc w:val="center"/>
        </w:trPr>
        <w:tc>
          <w:tcPr>
            <w:tcW w:w="1277" w:type="dxa"/>
            <w:vMerge w:val="restart"/>
            <w:vAlign w:val="center"/>
          </w:tcPr>
          <w:p w14:paraId="187D5A5B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活动总结</w:t>
            </w:r>
          </w:p>
        </w:tc>
        <w:tc>
          <w:tcPr>
            <w:tcW w:w="1412" w:type="dxa"/>
            <w:vMerge w:val="restart"/>
            <w:vAlign w:val="center"/>
          </w:tcPr>
          <w:p w14:paraId="61A5AC63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经验教训 </w:t>
            </w:r>
          </w:p>
          <w:p w14:paraId="1E742186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（5分）</w:t>
            </w:r>
          </w:p>
        </w:tc>
        <w:tc>
          <w:tcPr>
            <w:tcW w:w="5392" w:type="dxa"/>
            <w:gridSpan w:val="2"/>
            <w:vAlign w:val="center"/>
          </w:tcPr>
          <w:p w14:paraId="191773FA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认真总结经验教训，真实反映活动情况，内容深刻，有教育意义。（4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5分）</w:t>
            </w:r>
          </w:p>
        </w:tc>
        <w:tc>
          <w:tcPr>
            <w:tcW w:w="759" w:type="dxa"/>
            <w:vMerge w:val="restart"/>
            <w:vAlign w:val="center"/>
          </w:tcPr>
          <w:p w14:paraId="23750AA8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4CD9DC31" w14:textId="77777777">
        <w:trPr>
          <w:trHeight w:val="195"/>
          <w:jc w:val="center"/>
        </w:trPr>
        <w:tc>
          <w:tcPr>
            <w:tcW w:w="1277" w:type="dxa"/>
            <w:vMerge/>
            <w:vAlign w:val="center"/>
          </w:tcPr>
          <w:p w14:paraId="7259D605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336C4DC9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62F34DBB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总结较认真，总结</w:t>
            </w:r>
            <w:r>
              <w:rPr>
                <w:rFonts w:ascii="仿宋" w:eastAsia="仿宋" w:hAnsi="仿宋" w:hint="eastAsia"/>
                <w:szCs w:val="21"/>
              </w:rPr>
              <w:t>内容比较</w:t>
            </w:r>
            <w:r>
              <w:rPr>
                <w:rFonts w:ascii="仿宋" w:eastAsia="仿宋" w:hAnsi="仿宋"/>
                <w:szCs w:val="21"/>
              </w:rPr>
              <w:t>符合</w:t>
            </w:r>
            <w:r>
              <w:rPr>
                <w:rFonts w:ascii="仿宋" w:eastAsia="仿宋" w:hAnsi="仿宋" w:hint="eastAsia"/>
                <w:szCs w:val="21"/>
              </w:rPr>
              <w:t>活动</w:t>
            </w:r>
            <w:r>
              <w:rPr>
                <w:rFonts w:ascii="仿宋" w:eastAsia="仿宋" w:hAnsi="仿宋"/>
                <w:szCs w:val="21"/>
              </w:rPr>
              <w:t>实际情况。</w:t>
            </w:r>
          </w:p>
          <w:p w14:paraId="1D74ECFF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lastRenderedPageBreak/>
              <w:t>（2</w:t>
            </w:r>
            <w:r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/>
                <w:szCs w:val="21"/>
              </w:rPr>
              <w:t>3分）</w:t>
            </w:r>
          </w:p>
        </w:tc>
        <w:tc>
          <w:tcPr>
            <w:tcW w:w="759" w:type="dxa"/>
            <w:vMerge/>
            <w:vAlign w:val="center"/>
          </w:tcPr>
          <w:p w14:paraId="7571A7AA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0523A940" w14:textId="77777777">
        <w:trPr>
          <w:trHeight w:val="105"/>
          <w:jc w:val="center"/>
        </w:trPr>
        <w:tc>
          <w:tcPr>
            <w:tcW w:w="1277" w:type="dxa"/>
            <w:vMerge/>
            <w:vAlign w:val="center"/>
          </w:tcPr>
          <w:p w14:paraId="18A14BAE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1769E15E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306E345E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总结不深刻，</w:t>
            </w:r>
            <w:r>
              <w:rPr>
                <w:rFonts w:ascii="仿宋" w:eastAsia="仿宋" w:hAnsi="仿宋" w:hint="eastAsia"/>
                <w:szCs w:val="21"/>
              </w:rPr>
              <w:t>总结内容脱离实际活动，存在</w:t>
            </w:r>
            <w:r>
              <w:rPr>
                <w:rFonts w:ascii="仿宋" w:eastAsia="仿宋" w:hAnsi="仿宋"/>
                <w:szCs w:val="21"/>
              </w:rPr>
              <w:t>虚报活动成果</w:t>
            </w:r>
            <w:r>
              <w:rPr>
                <w:rFonts w:ascii="仿宋" w:eastAsia="仿宋" w:hAnsi="仿宋" w:hint="eastAsia"/>
                <w:szCs w:val="21"/>
              </w:rPr>
              <w:t>的现象</w:t>
            </w:r>
            <w:r>
              <w:rPr>
                <w:rFonts w:ascii="仿宋" w:eastAsia="仿宋" w:hAnsi="仿宋"/>
                <w:szCs w:val="21"/>
              </w:rPr>
              <w:t>。（0-1分）</w:t>
            </w:r>
          </w:p>
        </w:tc>
        <w:tc>
          <w:tcPr>
            <w:tcW w:w="759" w:type="dxa"/>
            <w:vMerge/>
            <w:vAlign w:val="center"/>
          </w:tcPr>
          <w:p w14:paraId="4F8B4D39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70D43B7C" w14:textId="77777777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0832F506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 w:val="restart"/>
            <w:vAlign w:val="center"/>
          </w:tcPr>
          <w:p w14:paraId="4257AC9F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总结材料</w:t>
            </w:r>
          </w:p>
          <w:p w14:paraId="52EDC02F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（10分）</w:t>
            </w:r>
          </w:p>
        </w:tc>
        <w:tc>
          <w:tcPr>
            <w:tcW w:w="5392" w:type="dxa"/>
            <w:gridSpan w:val="2"/>
            <w:vAlign w:val="center"/>
          </w:tcPr>
          <w:p w14:paraId="7976F425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能够在活动结束后三天内且在截止日期（2024年</w:t>
            </w:r>
            <w:r>
              <w:rPr>
                <w:rFonts w:ascii="仿宋" w:eastAsia="仿宋" w:hAnsi="仿宋" w:hint="eastAsia"/>
                <w:szCs w:val="21"/>
                <w:highlight w:val="yellow"/>
              </w:rPr>
              <w:t>12月10日</w:t>
            </w:r>
            <w:r>
              <w:rPr>
                <w:rFonts w:ascii="仿宋" w:eastAsia="仿宋" w:hAnsi="仿宋" w:hint="eastAsia"/>
                <w:szCs w:val="21"/>
              </w:rPr>
              <w:t>）前及时提交总结材料，</w:t>
            </w:r>
            <w:r>
              <w:rPr>
                <w:rFonts w:ascii="仿宋" w:eastAsia="仿宋" w:hAnsi="仿宋"/>
                <w:szCs w:val="21"/>
              </w:rPr>
              <w:t>新闻稿</w:t>
            </w:r>
            <w:r>
              <w:rPr>
                <w:rFonts w:ascii="仿宋" w:eastAsia="仿宋" w:hAnsi="仿宋" w:hint="eastAsia"/>
                <w:szCs w:val="21"/>
              </w:rPr>
              <w:t>质量高</w:t>
            </w:r>
            <w:r>
              <w:rPr>
                <w:rFonts w:ascii="仿宋" w:eastAsia="仿宋" w:hAnsi="仿宋"/>
                <w:szCs w:val="21"/>
              </w:rPr>
              <w:t>，总结报告内容丰富，</w:t>
            </w:r>
            <w:r>
              <w:rPr>
                <w:rFonts w:ascii="仿宋" w:eastAsia="仿宋" w:hAnsi="仿宋" w:hint="eastAsia"/>
                <w:szCs w:val="21"/>
              </w:rPr>
              <w:t>形式多样（</w:t>
            </w:r>
            <w:r>
              <w:rPr>
                <w:rFonts w:ascii="仿宋" w:eastAsia="仿宋" w:hAnsi="仿宋"/>
                <w:szCs w:val="21"/>
              </w:rPr>
              <w:t>含视频、照片、文字等</w:t>
            </w:r>
            <w:r>
              <w:rPr>
                <w:rFonts w:ascii="仿宋" w:eastAsia="仿宋" w:hAnsi="仿宋" w:hint="eastAsia"/>
                <w:szCs w:val="21"/>
              </w:rPr>
              <w:t>），</w:t>
            </w:r>
            <w:r>
              <w:rPr>
                <w:rFonts w:ascii="仿宋" w:eastAsia="仿宋" w:hAnsi="仿宋"/>
                <w:szCs w:val="21"/>
              </w:rPr>
              <w:t>排版</w:t>
            </w:r>
            <w:r>
              <w:rPr>
                <w:rFonts w:ascii="仿宋" w:eastAsia="仿宋" w:hAnsi="仿宋" w:hint="eastAsia"/>
                <w:szCs w:val="21"/>
              </w:rPr>
              <w:t>规范且</w:t>
            </w:r>
            <w:r>
              <w:rPr>
                <w:rFonts w:ascii="仿宋" w:eastAsia="仿宋" w:hAnsi="仿宋"/>
                <w:szCs w:val="21"/>
              </w:rPr>
              <w:t>精美。（7-10分）</w:t>
            </w:r>
          </w:p>
        </w:tc>
        <w:tc>
          <w:tcPr>
            <w:tcW w:w="759" w:type="dxa"/>
            <w:vMerge w:val="restart"/>
            <w:vAlign w:val="center"/>
          </w:tcPr>
          <w:p w14:paraId="0685307B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577EDB0D" w14:textId="77777777">
        <w:trPr>
          <w:trHeight w:val="165"/>
          <w:jc w:val="center"/>
        </w:trPr>
        <w:tc>
          <w:tcPr>
            <w:tcW w:w="1277" w:type="dxa"/>
            <w:vMerge/>
            <w:vAlign w:val="center"/>
          </w:tcPr>
          <w:p w14:paraId="1ADC3B82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4F7B6C2F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63BD260E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能够在活动结束后三天内且在截止日期（2024年</w:t>
            </w:r>
            <w:r>
              <w:rPr>
                <w:rFonts w:ascii="仿宋" w:eastAsia="仿宋" w:hAnsi="仿宋" w:hint="eastAsia"/>
                <w:szCs w:val="21"/>
                <w:highlight w:val="yellow"/>
              </w:rPr>
              <w:t>12月10日</w:t>
            </w:r>
            <w:r>
              <w:rPr>
                <w:rFonts w:ascii="仿宋" w:eastAsia="仿宋" w:hAnsi="仿宋" w:hint="eastAsia"/>
                <w:szCs w:val="21"/>
              </w:rPr>
              <w:t>）前及时提交总结材料，</w:t>
            </w:r>
            <w:r>
              <w:rPr>
                <w:rFonts w:ascii="仿宋" w:eastAsia="仿宋" w:hAnsi="仿宋"/>
                <w:szCs w:val="21"/>
              </w:rPr>
              <w:t>新闻稿</w:t>
            </w:r>
            <w:r>
              <w:rPr>
                <w:rFonts w:ascii="仿宋" w:eastAsia="仿宋" w:hAnsi="仿宋" w:hint="eastAsia"/>
                <w:szCs w:val="21"/>
              </w:rPr>
              <w:t>质量较高</w:t>
            </w:r>
            <w:r>
              <w:rPr>
                <w:rFonts w:ascii="仿宋" w:eastAsia="仿宋" w:hAnsi="仿宋"/>
                <w:szCs w:val="21"/>
              </w:rPr>
              <w:t>，总结报告内容较丰富，</w:t>
            </w:r>
            <w:r>
              <w:rPr>
                <w:rFonts w:ascii="仿宋" w:eastAsia="仿宋" w:hAnsi="仿宋" w:hint="eastAsia"/>
                <w:szCs w:val="21"/>
              </w:rPr>
              <w:t>形式较多样（</w:t>
            </w:r>
            <w:r>
              <w:rPr>
                <w:rFonts w:ascii="仿宋" w:eastAsia="仿宋" w:hAnsi="仿宋"/>
                <w:szCs w:val="21"/>
              </w:rPr>
              <w:t>含照片、文字等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/>
                <w:szCs w:val="21"/>
              </w:rPr>
              <w:t>，排版</w:t>
            </w:r>
            <w:r>
              <w:rPr>
                <w:rFonts w:ascii="仿宋" w:eastAsia="仿宋" w:hAnsi="仿宋" w:hint="eastAsia"/>
                <w:szCs w:val="21"/>
              </w:rPr>
              <w:t>比较</w:t>
            </w:r>
            <w:r>
              <w:rPr>
                <w:rFonts w:ascii="仿宋" w:eastAsia="仿宋" w:hAnsi="仿宋"/>
                <w:szCs w:val="21"/>
              </w:rPr>
              <w:t>规范。（3-6分）</w:t>
            </w:r>
          </w:p>
        </w:tc>
        <w:tc>
          <w:tcPr>
            <w:tcW w:w="759" w:type="dxa"/>
            <w:vMerge/>
            <w:vAlign w:val="center"/>
          </w:tcPr>
          <w:p w14:paraId="2309B5DE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1A255EE1" w14:textId="77777777">
        <w:trPr>
          <w:trHeight w:val="479"/>
          <w:jc w:val="center"/>
        </w:trPr>
        <w:tc>
          <w:tcPr>
            <w:tcW w:w="1277" w:type="dxa"/>
            <w:vMerge/>
            <w:vAlign w:val="center"/>
          </w:tcPr>
          <w:p w14:paraId="3D46E853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2" w:type="dxa"/>
            <w:vMerge/>
            <w:vAlign w:val="center"/>
          </w:tcPr>
          <w:p w14:paraId="74BD76BF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392" w:type="dxa"/>
            <w:gridSpan w:val="2"/>
            <w:vAlign w:val="center"/>
          </w:tcPr>
          <w:p w14:paraId="784915EB" w14:textId="77777777" w:rsidR="00164600" w:rsidRDefault="00000000">
            <w:pPr>
              <w:spacing w:line="276" w:lineRule="auto"/>
              <w:rPr>
                <w:rFonts w:ascii="仿宋" w:eastAsia="仿宋" w:hAnsi="仿宋" w:hint="eastAsia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未及时提交新闻稿，总结报告内容空洞，</w:t>
            </w:r>
            <w:r>
              <w:rPr>
                <w:rFonts w:ascii="仿宋" w:eastAsia="仿宋" w:hAnsi="仿宋" w:hint="eastAsia"/>
                <w:szCs w:val="21"/>
              </w:rPr>
              <w:t>形式单一（</w:t>
            </w:r>
            <w:r>
              <w:rPr>
                <w:rFonts w:ascii="仿宋" w:eastAsia="仿宋" w:hAnsi="仿宋"/>
                <w:szCs w:val="21"/>
              </w:rPr>
              <w:t>仅含文字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  <w:r>
              <w:rPr>
                <w:rFonts w:ascii="仿宋" w:eastAsia="仿宋" w:hAnsi="仿宋"/>
                <w:szCs w:val="21"/>
              </w:rPr>
              <w:t>，排版混乱。（0-2分）</w:t>
            </w:r>
          </w:p>
        </w:tc>
        <w:tc>
          <w:tcPr>
            <w:tcW w:w="759" w:type="dxa"/>
            <w:vMerge/>
            <w:vAlign w:val="center"/>
          </w:tcPr>
          <w:p w14:paraId="7F0E0AE2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64600" w14:paraId="0C7ECF1F" w14:textId="77777777">
        <w:trPr>
          <w:trHeight w:val="580"/>
          <w:jc w:val="center"/>
        </w:trPr>
        <w:tc>
          <w:tcPr>
            <w:tcW w:w="1277" w:type="dxa"/>
            <w:vAlign w:val="center"/>
          </w:tcPr>
          <w:p w14:paraId="52F8B16F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总分</w:t>
            </w:r>
          </w:p>
        </w:tc>
        <w:tc>
          <w:tcPr>
            <w:tcW w:w="1412" w:type="dxa"/>
            <w:vAlign w:val="center"/>
          </w:tcPr>
          <w:p w14:paraId="2E3CB8FC" w14:textId="77777777" w:rsidR="00164600" w:rsidRDefault="000000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100分</w:t>
            </w:r>
          </w:p>
        </w:tc>
        <w:tc>
          <w:tcPr>
            <w:tcW w:w="5392" w:type="dxa"/>
            <w:gridSpan w:val="2"/>
            <w:vAlign w:val="center"/>
          </w:tcPr>
          <w:p w14:paraId="7B753A79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59" w:type="dxa"/>
            <w:vAlign w:val="center"/>
          </w:tcPr>
          <w:p w14:paraId="1CF28740" w14:textId="77777777" w:rsidR="00164600" w:rsidRDefault="00164600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492AF11A" w14:textId="77777777" w:rsidR="00164600" w:rsidRDefault="00164600"/>
    <w:p w14:paraId="2125F066" w14:textId="77777777" w:rsidR="00164600" w:rsidRDefault="00164600"/>
    <w:sectPr w:rsidR="00164600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EA94E" w14:textId="77777777" w:rsidR="00643453" w:rsidRDefault="00643453" w:rsidP="003C364A">
      <w:r>
        <w:separator/>
      </w:r>
    </w:p>
  </w:endnote>
  <w:endnote w:type="continuationSeparator" w:id="0">
    <w:p w14:paraId="330D29EB" w14:textId="77777777" w:rsidR="00643453" w:rsidRDefault="00643453" w:rsidP="003C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FA20E" w14:textId="77777777" w:rsidR="00643453" w:rsidRDefault="00643453" w:rsidP="003C364A">
      <w:r>
        <w:separator/>
      </w:r>
    </w:p>
  </w:footnote>
  <w:footnote w:type="continuationSeparator" w:id="0">
    <w:p w14:paraId="24B34932" w14:textId="77777777" w:rsidR="00643453" w:rsidRDefault="00643453" w:rsidP="003C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M1YjRmZTRjZDMxOTU3NGNlY2JlZWI1MjIxZGRlYTUifQ=="/>
  </w:docVars>
  <w:rsids>
    <w:rsidRoot w:val="00945119"/>
    <w:rsid w:val="97B37184"/>
    <w:rsid w:val="BFE8CFC1"/>
    <w:rsid w:val="D7FF9C42"/>
    <w:rsid w:val="EF47490C"/>
    <w:rsid w:val="00033B88"/>
    <w:rsid w:val="000448E5"/>
    <w:rsid w:val="000E5800"/>
    <w:rsid w:val="00116E17"/>
    <w:rsid w:val="00164600"/>
    <w:rsid w:val="00190557"/>
    <w:rsid w:val="0025290B"/>
    <w:rsid w:val="003C364A"/>
    <w:rsid w:val="003E5CAC"/>
    <w:rsid w:val="00424260"/>
    <w:rsid w:val="004B7F15"/>
    <w:rsid w:val="00543C10"/>
    <w:rsid w:val="00573CD9"/>
    <w:rsid w:val="00622E5F"/>
    <w:rsid w:val="00643453"/>
    <w:rsid w:val="006950AE"/>
    <w:rsid w:val="006A67C0"/>
    <w:rsid w:val="00717094"/>
    <w:rsid w:val="007358E1"/>
    <w:rsid w:val="007B07FB"/>
    <w:rsid w:val="008413D1"/>
    <w:rsid w:val="008450E4"/>
    <w:rsid w:val="00877642"/>
    <w:rsid w:val="0088579D"/>
    <w:rsid w:val="00904FC9"/>
    <w:rsid w:val="00945119"/>
    <w:rsid w:val="00964B7F"/>
    <w:rsid w:val="00983CD4"/>
    <w:rsid w:val="009A63D8"/>
    <w:rsid w:val="009A799F"/>
    <w:rsid w:val="009E0DCD"/>
    <w:rsid w:val="00A5144B"/>
    <w:rsid w:val="00B738E6"/>
    <w:rsid w:val="00BB1ED9"/>
    <w:rsid w:val="00CC6480"/>
    <w:rsid w:val="00CD66DB"/>
    <w:rsid w:val="00D86EE6"/>
    <w:rsid w:val="00D94D93"/>
    <w:rsid w:val="00DD2050"/>
    <w:rsid w:val="00E266FA"/>
    <w:rsid w:val="00EC640C"/>
    <w:rsid w:val="00EF3BFD"/>
    <w:rsid w:val="00F27AEF"/>
    <w:rsid w:val="3EF5BC73"/>
    <w:rsid w:val="47993F84"/>
    <w:rsid w:val="4BE72F85"/>
    <w:rsid w:val="6CE20303"/>
    <w:rsid w:val="6D7D8ED4"/>
    <w:rsid w:val="779C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C62F3097-EEBA-4CF7-8354-0A47B193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  <w14:ligatures w14:val="none"/>
    </w:rPr>
  </w:style>
  <w:style w:type="character" w:customStyle="1" w:styleId="aa">
    <w:name w:val="批注主题 字符"/>
    <w:basedOn w:val="a4"/>
    <w:link w:val="a9"/>
    <w:uiPriority w:val="99"/>
    <w:semiHidden/>
    <w:qFormat/>
    <w:rPr>
      <w:rFonts w:ascii="Times New Roman" w:eastAsia="宋体" w:hAnsi="Times New Roman" w:cs="Times New Roman"/>
      <w:b/>
      <w:bCs/>
      <w:szCs w:val="24"/>
      <w14:ligatures w14:val="none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  <w14:ligatures w14:val="none"/>
    </w:rPr>
  </w:style>
  <w:style w:type="paragraph" w:customStyle="1" w:styleId="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">
    <w:name w:val="修订2"/>
    <w:hidden/>
    <w:uiPriority w:val="99"/>
    <w:unhideWhenUsed/>
    <w:qFormat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Revision"/>
    <w:hidden/>
    <w:uiPriority w:val="99"/>
    <w:unhideWhenUsed/>
    <w:rsid w:val="003C364A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莹莹 蔡</dc:creator>
  <cp:lastModifiedBy>沛琳 穆</cp:lastModifiedBy>
  <cp:revision>8</cp:revision>
  <dcterms:created xsi:type="dcterms:W3CDTF">2023-11-02T02:54:00Z</dcterms:created>
  <dcterms:modified xsi:type="dcterms:W3CDTF">2024-10-25T08:54:00Z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0208608DD1AF4F71ADC1B8042C88BB74_13</vt:lpwstr>
  </property>
</Properties>
</file>