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B662FB8">
      <w:pPr>
        <w:outlineLvl w:val="0"/>
        <w:rPr>
          <w:rFonts w:hint="eastAsia" w:ascii="黑体" w:hAnsi="仿宋" w:eastAsia="黑体"/>
          <w:b/>
          <w:bCs/>
          <w:color w:val="000000"/>
          <w:sz w:val="32"/>
          <w:szCs w:val="32"/>
        </w:rPr>
      </w:pPr>
      <w:r>
        <w:rPr>
          <w:rFonts w:hint="eastAsia" w:ascii="黑体" w:hAnsi="仿宋" w:eastAsia="黑体"/>
          <w:b/>
          <w:bCs/>
          <w:color w:val="000000"/>
          <w:sz w:val="32"/>
          <w:szCs w:val="32"/>
        </w:rPr>
        <w:t>附件</w:t>
      </w:r>
      <w:r>
        <w:rPr>
          <w:rFonts w:hint="eastAsia" w:ascii="黑体" w:hAnsi="仿宋" w:eastAsia="黑体"/>
          <w:b/>
          <w:bCs/>
          <w:color w:val="000000"/>
          <w:sz w:val="32"/>
          <w:szCs w:val="32"/>
          <w:lang w:val="en-US" w:eastAsia="zh-CN"/>
        </w:rPr>
        <w:t>七</w:t>
      </w:r>
      <w:r>
        <w:rPr>
          <w:rFonts w:hint="eastAsia" w:ascii="黑体" w:hAnsi="仿宋" w:eastAsia="黑体"/>
          <w:b/>
          <w:bCs/>
          <w:color w:val="000000"/>
          <w:sz w:val="32"/>
          <w:szCs w:val="32"/>
        </w:rPr>
        <w:t>:</w:t>
      </w:r>
    </w:p>
    <w:p w14:paraId="1302E5FF">
      <w:pPr>
        <w:jc w:val="center"/>
        <w:outlineLvl w:val="0"/>
        <w:rPr>
          <w:rFonts w:hint="eastAsia" w:ascii="宋体" w:hAnsi="宋体"/>
          <w:b/>
          <w:bCs/>
          <w:color w:val="000000"/>
          <w:sz w:val="44"/>
          <w:szCs w:val="44"/>
        </w:rPr>
      </w:pPr>
      <w:r>
        <w:rPr>
          <w:rFonts w:hint="eastAsia" w:ascii="宋体" w:hAnsi="宋体"/>
          <w:b/>
          <w:bCs/>
          <w:color w:val="000000"/>
          <w:sz w:val="44"/>
          <w:szCs w:val="44"/>
        </w:rPr>
        <w:t>中南财经政法大学“优秀研究生自办刊物单项奖”评分细则及申报表</w:t>
      </w:r>
    </w:p>
    <w:p w14:paraId="490B7E3B">
      <w:pPr>
        <w:adjustRightInd w:val="0"/>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研究生学术期刊为高校研究生教育搭建了丰富多元的学术交流平台，对研究生学术素养的培育具有重要意义。“优秀研究生自办刊物单项奖”是我校专门针对</w:t>
      </w:r>
      <w:r>
        <w:rPr>
          <w:rFonts w:hint="eastAsia" w:ascii="仿宋" w:hAnsi="仿宋" w:eastAsia="仿宋"/>
          <w:color w:val="000000"/>
          <w:sz w:val="32"/>
          <w:szCs w:val="32"/>
          <w:lang w:val="en-US" w:eastAsia="zh-CN"/>
        </w:rPr>
        <w:t>各学院研究生</w:t>
      </w:r>
      <w:r>
        <w:rPr>
          <w:rFonts w:hint="eastAsia" w:ascii="仿宋" w:hAnsi="仿宋" w:eastAsia="仿宋"/>
          <w:color w:val="000000"/>
          <w:sz w:val="32"/>
          <w:szCs w:val="32"/>
        </w:rPr>
        <w:t>学术刊物建设工作进行评优的奖项，认定标准具体如下（凡符合以下任意一点即可视为该院研究生自办刊物）：</w:t>
      </w:r>
    </w:p>
    <w:p w14:paraId="17F03AF2">
      <w:pPr>
        <w:adjustRightInd w:val="0"/>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（一）被认定为自办的刊物中，编委会人员里本院研究生同学和指导老师人数之和占比须不低于50%。</w:t>
      </w:r>
    </w:p>
    <w:p w14:paraId="64EF43B7">
      <w:pPr>
        <w:adjustRightInd w:val="0"/>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（二）被认定为自办的刊物中，明确注明有本院研究生会“主办”或“承办”等字样。</w:t>
      </w:r>
    </w:p>
    <w:p w14:paraId="5ABCFFAC">
      <w:pPr>
        <w:pStyle w:val="15"/>
        <w:adjustRightInd w:val="0"/>
        <w:spacing w:line="276" w:lineRule="auto"/>
        <w:ind w:firstLine="636" w:firstLineChars="198"/>
        <w:outlineLvl w:val="0"/>
        <w:rPr>
          <w:rFonts w:hint="eastAsia" w:ascii="仿宋" w:hAnsi="仿宋" w:eastAsia="仿宋"/>
          <w:b/>
          <w:color w:val="000000"/>
          <w:sz w:val="32"/>
          <w:szCs w:val="32"/>
        </w:rPr>
      </w:pPr>
      <w:r>
        <w:rPr>
          <w:rFonts w:hint="eastAsia" w:ascii="仿宋" w:hAnsi="仿宋" w:eastAsia="仿宋"/>
          <w:b/>
          <w:color w:val="000000"/>
          <w:sz w:val="32"/>
          <w:szCs w:val="32"/>
        </w:rPr>
        <w:t>一、办刊理念方面（20分）</w:t>
      </w:r>
    </w:p>
    <w:p w14:paraId="0E650579">
      <w:pPr>
        <w:adjustRightInd w:val="0"/>
        <w:spacing w:line="276" w:lineRule="auto"/>
        <w:ind w:firstLine="640" w:firstLineChars="200"/>
        <w:rPr>
          <w:rFonts w:hint="eastAsia" w:ascii="仿宋" w:hAnsi="仿宋" w:eastAsia="仿宋"/>
          <w:color w:val="000000"/>
          <w:sz w:val="32"/>
          <w:szCs w:val="32"/>
          <w:highlight w:val="yellow"/>
        </w:rPr>
      </w:pPr>
      <w:r>
        <w:rPr>
          <w:rFonts w:hint="eastAsia" w:ascii="仿宋" w:hAnsi="仿宋" w:eastAsia="仿宋"/>
          <w:color w:val="000000"/>
          <w:sz w:val="32"/>
          <w:szCs w:val="32"/>
        </w:rPr>
        <w:t>（一）深入贯彻落实习近平新时代中国特色社会主义思想和</w:t>
      </w:r>
      <w:r>
        <w:rPr>
          <w:rFonts w:hint="eastAsia" w:ascii="仿宋" w:hAnsi="仿宋" w:eastAsia="仿宋" w:cs="Times New Roman"/>
          <w:color w:val="000000"/>
          <w:sz w:val="32"/>
          <w:szCs w:val="32"/>
        </w:rPr>
        <w:t>党的二十大</w:t>
      </w:r>
      <w:r>
        <w:rPr>
          <w:rFonts w:hint="eastAsia" w:ascii="仿宋" w:hAnsi="仿宋" w:eastAsia="仿宋"/>
          <w:color w:val="000000"/>
          <w:sz w:val="32"/>
          <w:szCs w:val="32"/>
          <w:lang w:val="en-US" w:eastAsia="zh-CN"/>
        </w:rPr>
        <w:t>及二十届三中全会</w:t>
      </w:r>
      <w:r>
        <w:rPr>
          <w:rFonts w:hint="eastAsia" w:ascii="仿宋" w:hAnsi="仿宋" w:eastAsia="仿宋"/>
          <w:color w:val="000000"/>
          <w:sz w:val="32"/>
          <w:szCs w:val="32"/>
        </w:rPr>
        <w:t>精神，</w:t>
      </w:r>
      <w:r>
        <w:rPr>
          <w:rFonts w:hint="eastAsia" w:ascii="仿宋" w:hAnsi="仿宋" w:eastAsia="仿宋" w:cs="Times New Roman"/>
          <w:color w:val="000000"/>
          <w:sz w:val="32"/>
          <w:szCs w:val="32"/>
          <w:lang w:val="en-US" w:eastAsia="zh-CN"/>
        </w:rPr>
        <w:t>贯彻落实全国</w:t>
      </w:r>
      <w:r>
        <w:rPr>
          <w:rFonts w:hint="eastAsia" w:ascii="仿宋" w:hAnsi="仿宋" w:eastAsia="仿宋" w:cs="仿宋_GB2312"/>
          <w:color w:val="000000"/>
          <w:sz w:val="32"/>
          <w:szCs w:val="32"/>
          <w:lang w:val="en-US" w:eastAsia="zh-CN"/>
        </w:rPr>
        <w:t>教育大会精神，</w:t>
      </w:r>
      <w:r>
        <w:rPr>
          <w:rFonts w:hint="eastAsia" w:ascii="仿宋" w:hAnsi="仿宋" w:eastAsia="仿宋"/>
          <w:color w:val="000000"/>
          <w:sz w:val="32"/>
          <w:szCs w:val="32"/>
        </w:rPr>
        <w:t>坚持办刊</w:t>
      </w:r>
      <w:r>
        <w:rPr>
          <w:rFonts w:ascii="仿宋" w:hAnsi="仿宋" w:eastAsia="仿宋"/>
          <w:color w:val="000000"/>
          <w:sz w:val="32"/>
          <w:szCs w:val="32"/>
        </w:rPr>
        <w:t>宗旨,服务国家战略</w:t>
      </w:r>
      <w:r>
        <w:rPr>
          <w:rFonts w:hint="eastAsia" w:ascii="仿宋" w:hAnsi="仿宋" w:eastAsia="仿宋"/>
          <w:color w:val="000000"/>
          <w:sz w:val="32"/>
          <w:szCs w:val="32"/>
        </w:rPr>
        <w:t>，积极响应党和国家对高等教育的重大关切。积极宣传党的</w:t>
      </w:r>
      <w:r>
        <w:rPr>
          <w:rFonts w:hint="eastAsia" w:ascii="仿宋" w:hAnsi="仿宋" w:eastAsia="仿宋"/>
          <w:color w:val="000000"/>
          <w:sz w:val="32"/>
          <w:szCs w:val="32"/>
          <w:lang w:bidi="ar"/>
        </w:rPr>
        <w:t>路线、方针、政策</w:t>
      </w:r>
      <w:r>
        <w:rPr>
          <w:rFonts w:hint="eastAsia" w:ascii="仿宋" w:hAnsi="仿宋" w:eastAsia="仿宋"/>
          <w:color w:val="000000"/>
          <w:sz w:val="32"/>
          <w:szCs w:val="32"/>
        </w:rPr>
        <w:t>，10分。</w:t>
      </w:r>
    </w:p>
    <w:p w14:paraId="40934EE7">
      <w:pPr>
        <w:widowControl/>
        <w:adjustRightInd w:val="0"/>
        <w:spacing w:line="276" w:lineRule="auto"/>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（二）</w:t>
      </w:r>
      <w:r>
        <w:rPr>
          <w:rFonts w:hint="eastAsia" w:ascii="仿宋" w:hAnsi="仿宋" w:eastAsia="仿宋"/>
          <w:color w:val="000000"/>
          <w:sz w:val="32"/>
          <w:szCs w:val="32"/>
          <w:lang w:bidi="ar"/>
        </w:rPr>
        <w:t>坚持立德树人根本任务，弘扬社会主义核心价值观，大力弘扬优良校风、学风，促进校园文化建设</w:t>
      </w:r>
      <w:r>
        <w:rPr>
          <w:rFonts w:hint="eastAsia" w:ascii="仿宋" w:hAnsi="仿宋" w:eastAsia="仿宋"/>
          <w:color w:val="000000"/>
          <w:sz w:val="32"/>
          <w:szCs w:val="32"/>
        </w:rPr>
        <w:t>，展现研</w:t>
      </w:r>
      <w:r>
        <w:rPr>
          <w:rFonts w:hint="eastAsia" w:ascii="仿宋" w:hAnsi="仿宋" w:eastAsia="仿宋" w:cs="Times New Roman"/>
          <w:color w:val="000000"/>
          <w:sz w:val="32"/>
          <w:szCs w:val="32"/>
          <w:lang w:bidi="ar"/>
        </w:rPr>
        <w:t>究生积极向上的精神风貌，</w:t>
      </w:r>
      <w:r>
        <w:rPr>
          <w:rFonts w:hint="eastAsia" w:ascii="仿宋" w:hAnsi="仿宋" w:eastAsia="仿宋" w:cs="Times New Roman"/>
          <w:i w:val="0"/>
          <w:iCs w:val="0"/>
          <w:caps w:val="0"/>
          <w:color w:val="000000"/>
          <w:spacing w:val="0"/>
          <w:sz w:val="32"/>
          <w:szCs w:val="32"/>
          <w:shd w:val="clear" w:color="auto" w:fill="auto"/>
          <w:lang w:bidi="ar"/>
        </w:rPr>
        <w:t>激发研究生学术热情</w:t>
      </w:r>
      <w:r>
        <w:rPr>
          <w:rFonts w:hint="eastAsia" w:ascii="仿宋" w:hAnsi="仿宋" w:eastAsia="仿宋" w:cs="Times New Roman"/>
          <w:i w:val="0"/>
          <w:iCs w:val="0"/>
          <w:caps w:val="0"/>
          <w:color w:val="000000"/>
          <w:spacing w:val="0"/>
          <w:sz w:val="32"/>
          <w:szCs w:val="32"/>
          <w:shd w:val="clear" w:color="auto" w:fill="auto"/>
          <w:lang w:eastAsia="zh-CN" w:bidi="ar"/>
        </w:rPr>
        <w:t>、</w:t>
      </w:r>
      <w:r>
        <w:rPr>
          <w:rFonts w:hint="eastAsia" w:ascii="仿宋" w:hAnsi="仿宋" w:eastAsia="仿宋" w:cs="Times New Roman"/>
          <w:i w:val="0"/>
          <w:iCs w:val="0"/>
          <w:caps w:val="0"/>
          <w:color w:val="000000"/>
          <w:spacing w:val="0"/>
          <w:sz w:val="32"/>
          <w:szCs w:val="32"/>
          <w:shd w:val="clear" w:color="auto" w:fill="auto"/>
          <w:lang w:bidi="ar"/>
        </w:rPr>
        <w:t>促进</w:t>
      </w:r>
      <w:r>
        <w:rPr>
          <w:rFonts w:hint="eastAsia" w:ascii="仿宋" w:hAnsi="仿宋" w:eastAsia="仿宋" w:cs="Times New Roman"/>
          <w:i w:val="0"/>
          <w:iCs w:val="0"/>
          <w:caps w:val="0"/>
          <w:color w:val="000000"/>
          <w:spacing w:val="0"/>
          <w:sz w:val="32"/>
          <w:szCs w:val="32"/>
          <w:shd w:val="clear" w:color="auto" w:fill="auto"/>
          <w:lang w:val="en-US" w:eastAsia="zh-CN" w:bidi="ar"/>
        </w:rPr>
        <w:t>多</w:t>
      </w:r>
      <w:r>
        <w:rPr>
          <w:rFonts w:hint="eastAsia" w:ascii="仿宋" w:hAnsi="仿宋" w:eastAsia="仿宋" w:cs="Times New Roman"/>
          <w:i w:val="0"/>
          <w:iCs w:val="0"/>
          <w:caps w:val="0"/>
          <w:color w:val="000000"/>
          <w:spacing w:val="0"/>
          <w:sz w:val="32"/>
          <w:szCs w:val="32"/>
          <w:shd w:val="clear" w:color="auto" w:fill="auto"/>
          <w:lang w:bidi="ar"/>
        </w:rPr>
        <w:t>学科的交叉融合</w:t>
      </w:r>
      <w:r>
        <w:rPr>
          <w:rFonts w:hint="eastAsia" w:ascii="仿宋" w:hAnsi="仿宋" w:eastAsia="仿宋" w:cs="Times New Roman"/>
          <w:color w:val="000000"/>
          <w:sz w:val="32"/>
          <w:szCs w:val="32"/>
          <w:lang w:bidi="ar"/>
        </w:rPr>
        <w:t>，10分。</w:t>
      </w:r>
    </w:p>
    <w:p w14:paraId="6D27A3C5">
      <w:pPr>
        <w:pStyle w:val="15"/>
        <w:adjustRightInd w:val="0"/>
        <w:spacing w:line="276"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二、办刊内容方面（30分）</w:t>
      </w:r>
    </w:p>
    <w:p w14:paraId="22F02860">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（一）广泛面向研究生积极征集稿件，并进行严格筛选、审稿，确保刊物质量，10分。</w:t>
      </w:r>
    </w:p>
    <w:p w14:paraId="774E51C3">
      <w:pPr>
        <w:adjustRightInd w:val="0"/>
        <w:spacing w:line="276" w:lineRule="auto"/>
        <w:ind w:firstLine="640" w:firstLineChars="200"/>
        <w:rPr>
          <w:rFonts w:ascii="仿宋" w:hAnsi="仿宋" w:eastAsia="仿宋"/>
          <w:color w:val="000000"/>
          <w:sz w:val="32"/>
          <w:szCs w:val="32"/>
        </w:rPr>
      </w:pPr>
      <w:r>
        <w:rPr>
          <w:rFonts w:hint="eastAsia" w:ascii="仿宋" w:hAnsi="仿宋" w:eastAsia="仿宋"/>
          <w:color w:val="000000"/>
          <w:sz w:val="32"/>
          <w:szCs w:val="32"/>
        </w:rPr>
        <w:t>（二）</w:t>
      </w:r>
      <w:r>
        <w:rPr>
          <w:rFonts w:hint="eastAsia" w:ascii="仿宋" w:hAnsi="仿宋" w:eastAsia="仿宋"/>
          <w:color w:val="000000"/>
          <w:sz w:val="32"/>
          <w:szCs w:val="32"/>
          <w:lang w:eastAsia="zh-CN"/>
        </w:rPr>
        <w:t>学院</w:t>
      </w:r>
      <w:r>
        <w:rPr>
          <w:rFonts w:hint="eastAsia" w:ascii="仿宋" w:hAnsi="仿宋" w:eastAsia="仿宋"/>
          <w:color w:val="000000"/>
          <w:sz w:val="32"/>
          <w:szCs w:val="32"/>
        </w:rPr>
        <w:t>研究生自办刊物出版具有连贯性，定期结合院校动态、时事热点进行更新，10分。</w:t>
      </w:r>
    </w:p>
    <w:p w14:paraId="00FE0396">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（三）</w:t>
      </w:r>
      <w:r>
        <w:rPr>
          <w:rFonts w:hint="eastAsia" w:ascii="仿宋" w:hAnsi="仿宋" w:eastAsia="仿宋"/>
          <w:color w:val="000000"/>
          <w:sz w:val="32"/>
          <w:szCs w:val="32"/>
          <w:lang w:val="en-US" w:eastAsia="zh-CN"/>
        </w:rPr>
        <w:t>定期</w:t>
      </w:r>
      <w:r>
        <w:rPr>
          <w:rFonts w:hint="eastAsia" w:ascii="仿宋" w:hAnsi="仿宋" w:eastAsia="仿宋"/>
          <w:color w:val="000000"/>
          <w:sz w:val="32"/>
          <w:szCs w:val="32"/>
        </w:rPr>
        <w:t>开展形式多样的学术交流会、研讨会，10</w:t>
      </w:r>
      <w:bookmarkStart w:id="0" w:name="_GoBack"/>
      <w:bookmarkEnd w:id="0"/>
      <w:r>
        <w:rPr>
          <w:rFonts w:hint="eastAsia" w:ascii="仿宋" w:hAnsi="仿宋" w:eastAsia="仿宋"/>
          <w:color w:val="000000"/>
          <w:sz w:val="32"/>
          <w:szCs w:val="32"/>
        </w:rPr>
        <w:t>分。</w:t>
      </w:r>
    </w:p>
    <w:p w14:paraId="59F10171">
      <w:pPr>
        <w:pStyle w:val="15"/>
        <w:adjustRightInd w:val="0"/>
        <w:spacing w:line="276"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三、办刊形式方面（25分）</w:t>
      </w:r>
    </w:p>
    <w:p w14:paraId="5E08C985">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（一）纸质版刊物设有固定的内容版块，每个版块有规范的格式要求，能够对研究生学术规范起到一定正向引导作用，10分。</w:t>
      </w:r>
    </w:p>
    <w:p w14:paraId="0554923F">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（二）纸质版刊物的页面设计、视觉编排能够结合</w:t>
      </w:r>
      <w:r>
        <w:rPr>
          <w:rFonts w:hint="eastAsia" w:ascii="仿宋" w:hAnsi="仿宋" w:eastAsia="仿宋"/>
          <w:color w:val="000000"/>
          <w:sz w:val="32"/>
          <w:szCs w:val="32"/>
          <w:lang w:eastAsia="zh-CN"/>
        </w:rPr>
        <w:t>学院</w:t>
      </w:r>
      <w:r>
        <w:rPr>
          <w:rFonts w:hint="eastAsia" w:ascii="仿宋" w:hAnsi="仿宋" w:eastAsia="仿宋"/>
          <w:color w:val="000000"/>
          <w:sz w:val="32"/>
          <w:szCs w:val="32"/>
        </w:rPr>
        <w:t>特色，符合大众审美，激发阅读兴趣，8分。</w:t>
      </w:r>
    </w:p>
    <w:p w14:paraId="3732028C">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（三）在纸质版刊物基础上能够及时提供规范的电子版刊物方便院内外学生查阅，可酌情加分（最高不超过7分）。</w:t>
      </w:r>
    </w:p>
    <w:p w14:paraId="5F0E36A5">
      <w:pPr>
        <w:pStyle w:val="15"/>
        <w:adjustRightInd w:val="0"/>
        <w:spacing w:line="276"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四、办刊价值方面（15分）</w:t>
      </w:r>
    </w:p>
    <w:p w14:paraId="23EAFF6F">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（一）与时俱进，及时报道本学科领域学术发展的最新研究成果，5分。</w:t>
      </w:r>
    </w:p>
    <w:p w14:paraId="0B62736A">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（二）贴近实际，为广大研究生提供思想交流、学术创新和权益服务的平台，5分。</w:t>
      </w:r>
    </w:p>
    <w:p w14:paraId="1E0E785F">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（三）发挥学术创新和引领作用，刊物收录文章具备独特的理论价值和应用价值，5分。</w:t>
      </w:r>
    </w:p>
    <w:p w14:paraId="34F5CC0E">
      <w:pPr>
        <w:pStyle w:val="15"/>
        <w:adjustRightInd w:val="0"/>
        <w:spacing w:line="276" w:lineRule="auto"/>
        <w:ind w:firstLine="643" w:firstLineChars="200"/>
        <w:outlineLvl w:val="0"/>
        <w:rPr>
          <w:rFonts w:hint="eastAsia" w:ascii="仿宋" w:hAnsi="仿宋" w:eastAsia="仿宋"/>
          <w:b/>
          <w:color w:val="000000"/>
          <w:sz w:val="32"/>
          <w:szCs w:val="32"/>
        </w:rPr>
      </w:pPr>
      <w:r>
        <w:rPr>
          <w:rFonts w:hint="eastAsia" w:ascii="仿宋" w:hAnsi="仿宋" w:eastAsia="仿宋"/>
          <w:b/>
          <w:color w:val="000000"/>
          <w:sz w:val="32"/>
          <w:szCs w:val="32"/>
        </w:rPr>
        <w:t>五、学术道德方面（10分）</w:t>
      </w:r>
    </w:p>
    <w:p w14:paraId="0619AC7D">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（一）各参评研究生自办刊物应严格遵守学术规范，严禁出现造假、抄袭、剽窃和其他违背学术活动公序良俗的行为，</w:t>
      </w:r>
      <w:r>
        <w:rPr>
          <w:rFonts w:ascii="仿宋" w:hAnsi="仿宋" w:eastAsia="仿宋"/>
          <w:color w:val="000000"/>
          <w:sz w:val="32"/>
          <w:szCs w:val="32"/>
        </w:rPr>
        <w:t>5</w:t>
      </w:r>
      <w:r>
        <w:rPr>
          <w:rFonts w:hint="eastAsia" w:ascii="仿宋" w:hAnsi="仿宋" w:eastAsia="仿宋"/>
          <w:color w:val="000000"/>
          <w:sz w:val="32"/>
          <w:szCs w:val="32"/>
        </w:rPr>
        <w:t>分。</w:t>
      </w:r>
    </w:p>
    <w:p w14:paraId="45EA46D7">
      <w:pPr>
        <w:adjustRightInd w:val="0"/>
        <w:spacing w:line="276" w:lineRule="auto"/>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（二）该参评刊物在本院及校内外学术规范的践行能进行积极的引导，发挥传导时代脉搏、传播原创知识、传承学术文化的积极作用，并产生广泛的影响，5分。</w:t>
      </w:r>
    </w:p>
    <w:p w14:paraId="24E8436B">
      <w:pPr>
        <w:adjustRightInd w:val="0"/>
        <w:ind w:firstLine="643" w:firstLineChars="200"/>
        <w:rPr>
          <w:rFonts w:ascii="仿宋" w:hAnsi="仿宋" w:eastAsia="仿宋" w:cs="仿宋_GB2312"/>
          <w:b/>
          <w:bCs/>
          <w:color w:val="000000"/>
          <w:sz w:val="32"/>
          <w:szCs w:val="32"/>
        </w:rPr>
      </w:pPr>
      <w:r>
        <w:rPr>
          <w:rFonts w:hint="eastAsia" w:ascii="仿宋" w:hAnsi="仿宋" w:eastAsia="仿宋" w:cs="仿宋_GB2312"/>
          <w:b/>
          <w:bCs/>
          <w:color w:val="000000"/>
          <w:sz w:val="32"/>
          <w:szCs w:val="32"/>
        </w:rPr>
        <w:t>六、申报要求</w:t>
      </w:r>
    </w:p>
    <w:p w14:paraId="4A5DF91A">
      <w:pPr>
        <w:adjustRightInd w:val="0"/>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（一）考核分为申报材料考核、风采展示和现场答辩。其中，申报材料由校研究生会考核小组依据本文件进行评分。风采展示由各</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lang w:val="en-US" w:eastAsia="zh-CN"/>
        </w:rPr>
        <w:t>通过</w:t>
      </w:r>
      <w:r>
        <w:rPr>
          <w:rFonts w:hint="eastAsia" w:ascii="仿宋" w:hAnsi="仿宋" w:eastAsia="仿宋" w:cs="仿宋_GB2312"/>
          <w:color w:val="000000"/>
          <w:sz w:val="32"/>
          <w:szCs w:val="32"/>
        </w:rPr>
        <w:t>学院研会微信公众号、学院官网等平台对所在</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研究生会自办刊物情况进行简要介绍，校研究生会在“中南财经政法大学研究生会微信公众号”组织投票，根据投票结果计分。现场答辩由校研究生会秘书处组织各</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主席团成员（刊物负责人）集中答辩。</w:t>
      </w:r>
    </w:p>
    <w:p w14:paraId="28139F22">
      <w:pPr>
        <w:adjustRightInd w:val="0"/>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（二）评比分数。实行百分制，各</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最终得分=20%*申报材料得分+30%*风采展示得分+50%*答辩得分。其中，风采展示得分按照如下规则计算：</w:t>
      </w:r>
    </w:p>
    <w:tbl>
      <w:tblPr>
        <w:tblStyle w:val="7"/>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1"/>
        <w:gridCol w:w="3491"/>
      </w:tblGrid>
      <w:tr w14:paraId="2387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74CEB590">
            <w:pPr>
              <w:jc w:val="center"/>
              <w:rPr>
                <w:rFonts w:hint="eastAsia" w:ascii="仿宋" w:hAnsi="仿宋" w:eastAsia="仿宋"/>
                <w:b/>
                <w:color w:val="000000"/>
                <w:sz w:val="32"/>
                <w:szCs w:val="32"/>
                <w:lang w:eastAsia="zh-CN"/>
              </w:rPr>
            </w:pPr>
            <w:r>
              <w:rPr>
                <w:rFonts w:hint="eastAsia" w:ascii="仿宋" w:hAnsi="仿宋" w:eastAsia="仿宋"/>
                <w:b/>
                <w:color w:val="000000"/>
                <w:sz w:val="32"/>
                <w:szCs w:val="32"/>
              </w:rPr>
              <w:t>投票人数占</w:t>
            </w:r>
            <w:r>
              <w:rPr>
                <w:rFonts w:hint="eastAsia" w:ascii="仿宋" w:hAnsi="仿宋" w:eastAsia="仿宋"/>
                <w:b/>
                <w:color w:val="000000"/>
                <w:sz w:val="32"/>
                <w:szCs w:val="32"/>
                <w:lang w:eastAsia="zh-CN"/>
              </w:rPr>
              <w:t>学院</w:t>
            </w:r>
          </w:p>
          <w:p w14:paraId="108CB66B">
            <w:pPr>
              <w:jc w:val="center"/>
              <w:rPr>
                <w:rFonts w:hint="eastAsia" w:ascii="仿宋" w:hAnsi="仿宋" w:eastAsia="仿宋"/>
                <w:b/>
                <w:color w:val="000000"/>
                <w:sz w:val="32"/>
                <w:szCs w:val="32"/>
              </w:rPr>
            </w:pPr>
            <w:r>
              <w:rPr>
                <w:rFonts w:hint="eastAsia" w:ascii="仿宋" w:hAnsi="仿宋" w:eastAsia="仿宋"/>
                <w:b/>
                <w:color w:val="000000"/>
                <w:sz w:val="32"/>
                <w:szCs w:val="32"/>
              </w:rPr>
              <w:t>全日制硕士研究生总人数的比例</w:t>
            </w:r>
          </w:p>
        </w:tc>
        <w:tc>
          <w:tcPr>
            <w:tcW w:w="3491" w:type="dxa"/>
            <w:tcBorders>
              <w:top w:val="single" w:color="auto" w:sz="4" w:space="0"/>
              <w:left w:val="nil"/>
              <w:bottom w:val="single" w:color="auto" w:sz="4" w:space="0"/>
              <w:right w:val="single" w:color="auto" w:sz="4" w:space="0"/>
            </w:tcBorders>
            <w:noWrap w:val="0"/>
            <w:vAlign w:val="center"/>
          </w:tcPr>
          <w:p w14:paraId="0BEB55F4">
            <w:pPr>
              <w:jc w:val="center"/>
              <w:rPr>
                <w:rFonts w:hint="eastAsia" w:ascii="仿宋" w:hAnsi="仿宋" w:eastAsia="仿宋"/>
                <w:b/>
                <w:color w:val="000000"/>
                <w:sz w:val="32"/>
                <w:szCs w:val="32"/>
              </w:rPr>
            </w:pPr>
            <w:r>
              <w:rPr>
                <w:rFonts w:hint="eastAsia" w:ascii="仿宋" w:hAnsi="仿宋" w:eastAsia="仿宋"/>
                <w:b/>
                <w:color w:val="000000"/>
                <w:sz w:val="32"/>
                <w:szCs w:val="32"/>
                <w:lang w:bidi="ar"/>
              </w:rPr>
              <w:t>风采展示得分</w:t>
            </w:r>
          </w:p>
        </w:tc>
      </w:tr>
      <w:tr w14:paraId="4119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716532A0">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≥90%</w:t>
            </w:r>
          </w:p>
        </w:tc>
        <w:tc>
          <w:tcPr>
            <w:tcW w:w="3491" w:type="dxa"/>
            <w:tcBorders>
              <w:top w:val="single" w:color="auto" w:sz="4" w:space="0"/>
              <w:left w:val="nil"/>
              <w:bottom w:val="single" w:color="auto" w:sz="4" w:space="0"/>
              <w:right w:val="single" w:color="auto" w:sz="4" w:space="0"/>
            </w:tcBorders>
            <w:noWrap w:val="0"/>
            <w:vAlign w:val="center"/>
          </w:tcPr>
          <w:p w14:paraId="29E4B912">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100</w:t>
            </w:r>
          </w:p>
        </w:tc>
      </w:tr>
      <w:tr w14:paraId="528D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0AECFBE5">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≥80%，＜90%</w:t>
            </w:r>
          </w:p>
        </w:tc>
        <w:tc>
          <w:tcPr>
            <w:tcW w:w="3491" w:type="dxa"/>
            <w:tcBorders>
              <w:top w:val="single" w:color="auto" w:sz="4" w:space="0"/>
              <w:left w:val="nil"/>
              <w:bottom w:val="single" w:color="auto" w:sz="4" w:space="0"/>
              <w:right w:val="single" w:color="auto" w:sz="4" w:space="0"/>
            </w:tcBorders>
            <w:noWrap w:val="0"/>
            <w:vAlign w:val="center"/>
          </w:tcPr>
          <w:p w14:paraId="3E04AAAE">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90</w:t>
            </w:r>
          </w:p>
        </w:tc>
      </w:tr>
      <w:tr w14:paraId="3B51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017B1FCA">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≥70%，＜80%</w:t>
            </w:r>
          </w:p>
        </w:tc>
        <w:tc>
          <w:tcPr>
            <w:tcW w:w="3491" w:type="dxa"/>
            <w:tcBorders>
              <w:top w:val="single" w:color="auto" w:sz="4" w:space="0"/>
              <w:left w:val="nil"/>
              <w:bottom w:val="single" w:color="auto" w:sz="4" w:space="0"/>
              <w:right w:val="single" w:color="auto" w:sz="4" w:space="0"/>
            </w:tcBorders>
            <w:noWrap w:val="0"/>
            <w:vAlign w:val="center"/>
          </w:tcPr>
          <w:p w14:paraId="2EEF9DEC">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80</w:t>
            </w:r>
          </w:p>
        </w:tc>
      </w:tr>
      <w:tr w14:paraId="5C26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21C3CB95">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≥60%，＜70%</w:t>
            </w:r>
          </w:p>
        </w:tc>
        <w:tc>
          <w:tcPr>
            <w:tcW w:w="3491" w:type="dxa"/>
            <w:tcBorders>
              <w:top w:val="single" w:color="auto" w:sz="4" w:space="0"/>
              <w:left w:val="nil"/>
              <w:bottom w:val="single" w:color="auto" w:sz="4" w:space="0"/>
              <w:right w:val="single" w:color="auto" w:sz="4" w:space="0"/>
            </w:tcBorders>
            <w:noWrap w:val="0"/>
            <w:vAlign w:val="center"/>
          </w:tcPr>
          <w:p w14:paraId="293A2924">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70</w:t>
            </w:r>
          </w:p>
        </w:tc>
      </w:tr>
      <w:tr w14:paraId="51F4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07177E80">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≥50%，＜60%</w:t>
            </w:r>
          </w:p>
        </w:tc>
        <w:tc>
          <w:tcPr>
            <w:tcW w:w="3491" w:type="dxa"/>
            <w:tcBorders>
              <w:top w:val="single" w:color="auto" w:sz="4" w:space="0"/>
              <w:left w:val="nil"/>
              <w:bottom w:val="single" w:color="auto" w:sz="4" w:space="0"/>
              <w:right w:val="single" w:color="auto" w:sz="4" w:space="0"/>
            </w:tcBorders>
            <w:noWrap w:val="0"/>
            <w:vAlign w:val="center"/>
          </w:tcPr>
          <w:p w14:paraId="6D256BD1">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60</w:t>
            </w:r>
          </w:p>
        </w:tc>
      </w:tr>
      <w:tr w14:paraId="4768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tcBorders>
              <w:top w:val="single" w:color="auto" w:sz="4" w:space="0"/>
              <w:left w:val="single" w:color="auto" w:sz="4" w:space="0"/>
              <w:bottom w:val="single" w:color="auto" w:sz="4" w:space="0"/>
              <w:right w:val="single" w:color="auto" w:sz="4" w:space="0"/>
            </w:tcBorders>
            <w:noWrap w:val="0"/>
            <w:vAlign w:val="center"/>
          </w:tcPr>
          <w:p w14:paraId="18D59A51">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lang w:bidi="ar"/>
              </w:rPr>
              <w:t>＜50%</w:t>
            </w:r>
          </w:p>
        </w:tc>
        <w:tc>
          <w:tcPr>
            <w:tcW w:w="3491" w:type="dxa"/>
            <w:tcBorders>
              <w:top w:val="single" w:color="auto" w:sz="4" w:space="0"/>
              <w:left w:val="nil"/>
              <w:bottom w:val="single" w:color="auto" w:sz="4" w:space="0"/>
              <w:right w:val="single" w:color="auto" w:sz="4" w:space="0"/>
            </w:tcBorders>
            <w:noWrap w:val="0"/>
            <w:vAlign w:val="center"/>
          </w:tcPr>
          <w:p w14:paraId="3F7061D3">
            <w:pPr>
              <w:spacing w:line="300" w:lineRule="auto"/>
              <w:jc w:val="center"/>
              <w:rPr>
                <w:rFonts w:hint="eastAsia" w:ascii="仿宋" w:hAnsi="仿宋" w:eastAsia="仿宋"/>
                <w:color w:val="000000"/>
                <w:sz w:val="32"/>
                <w:szCs w:val="32"/>
              </w:rPr>
            </w:pPr>
            <w:r>
              <w:rPr>
                <w:rFonts w:hint="eastAsia" w:ascii="仿宋" w:hAnsi="仿宋" w:eastAsia="仿宋"/>
                <w:color w:val="000000"/>
                <w:sz w:val="32"/>
                <w:szCs w:val="32"/>
              </w:rPr>
              <w:t>0</w:t>
            </w:r>
          </w:p>
        </w:tc>
      </w:tr>
    </w:tbl>
    <w:p w14:paraId="2018DA61">
      <w:pPr>
        <w:adjustRightInd w:val="0"/>
        <w:spacing w:line="276" w:lineRule="auto"/>
        <w:ind w:firstLine="640" w:firstLineChars="200"/>
        <w:rPr>
          <w:rFonts w:hint="eastAsia" w:ascii="仿宋" w:hAnsi="仿宋" w:eastAsia="仿宋"/>
          <w:color w:val="000000"/>
          <w:sz w:val="32"/>
          <w:szCs w:val="32"/>
        </w:rPr>
      </w:pPr>
    </w:p>
    <w:p w14:paraId="04B90DBE">
      <w:pPr>
        <w:pStyle w:val="15"/>
        <w:adjustRightInd w:val="0"/>
        <w:spacing w:line="276" w:lineRule="auto"/>
        <w:ind w:firstLine="4967" w:firstLineChars="1546"/>
        <w:jc w:val="right"/>
        <w:outlineLvl w:val="0"/>
        <w:rPr>
          <w:rFonts w:hint="eastAsia" w:ascii="仿宋" w:hAnsi="仿宋" w:eastAsia="仿宋"/>
          <w:b/>
          <w:color w:val="000000"/>
          <w:sz w:val="32"/>
          <w:szCs w:val="32"/>
        </w:rPr>
      </w:pPr>
    </w:p>
    <w:p w14:paraId="6EF71DB7">
      <w:pPr>
        <w:pStyle w:val="15"/>
        <w:wordWrap w:val="0"/>
        <w:adjustRightInd w:val="0"/>
        <w:spacing w:line="276" w:lineRule="auto"/>
        <w:jc w:val="right"/>
        <w:outlineLvl w:val="0"/>
        <w:rPr>
          <w:rFonts w:hint="eastAsia" w:ascii="仿宋" w:hAnsi="仿宋" w:eastAsia="仿宋"/>
          <w:bCs/>
          <w:color w:val="000000"/>
          <w:sz w:val="32"/>
          <w:szCs w:val="32"/>
        </w:rPr>
      </w:pPr>
      <w:r>
        <w:rPr>
          <w:rFonts w:hint="eastAsia" w:ascii="仿宋" w:hAnsi="仿宋" w:eastAsia="仿宋"/>
          <w:bCs/>
          <w:color w:val="000000"/>
          <w:sz w:val="32"/>
          <w:szCs w:val="32"/>
        </w:rPr>
        <w:t>中南财经政法大学研究生会</w:t>
      </w:r>
    </w:p>
    <w:p w14:paraId="2B71BD2A">
      <w:pPr>
        <w:pStyle w:val="15"/>
        <w:wordWrap w:val="0"/>
        <w:adjustRightInd w:val="0"/>
        <w:spacing w:line="276" w:lineRule="auto"/>
        <w:ind w:firstLine="0" w:firstLineChars="0"/>
        <w:jc w:val="right"/>
        <w:outlineLvl w:val="0"/>
        <w:rPr>
          <w:rFonts w:hint="eastAsia" w:ascii="仿宋" w:hAnsi="仿宋" w:eastAsia="仿宋"/>
          <w:b/>
          <w:color w:val="000000"/>
          <w:sz w:val="32"/>
          <w:szCs w:val="32"/>
        </w:rPr>
      </w:pPr>
      <w:r>
        <w:rPr>
          <w:rFonts w:hint="eastAsia" w:ascii="仿宋" w:hAnsi="仿宋" w:eastAsia="仿宋"/>
          <w:bCs/>
          <w:color w:val="000000"/>
          <w:sz w:val="32"/>
          <w:szCs w:val="32"/>
        </w:rPr>
        <w:t>2</w:t>
      </w:r>
      <w:r>
        <w:rPr>
          <w:rFonts w:ascii="仿宋" w:hAnsi="仿宋" w:eastAsia="仿宋"/>
          <w:bCs/>
          <w:color w:val="000000"/>
          <w:sz w:val="32"/>
          <w:szCs w:val="32"/>
        </w:rPr>
        <w:t>02</w:t>
      </w:r>
      <w:r>
        <w:rPr>
          <w:rFonts w:hint="eastAsia" w:ascii="仿宋" w:hAnsi="仿宋" w:eastAsia="仿宋"/>
          <w:bCs/>
          <w:color w:val="000000"/>
          <w:sz w:val="32"/>
          <w:szCs w:val="32"/>
          <w:lang w:val="en-US" w:eastAsia="zh-CN"/>
        </w:rPr>
        <w:t>5</w:t>
      </w:r>
      <w:r>
        <w:rPr>
          <w:rFonts w:hint="eastAsia" w:ascii="仿宋" w:hAnsi="仿宋" w:eastAsia="仿宋"/>
          <w:bCs/>
          <w:color w:val="000000"/>
          <w:sz w:val="32"/>
          <w:szCs w:val="32"/>
        </w:rPr>
        <w:t>年</w:t>
      </w:r>
      <w:r>
        <w:rPr>
          <w:rFonts w:hint="eastAsia" w:ascii="仿宋" w:hAnsi="仿宋" w:eastAsia="仿宋"/>
          <w:bCs/>
          <w:color w:val="000000"/>
          <w:sz w:val="32"/>
          <w:szCs w:val="32"/>
          <w:lang w:val="en-US" w:eastAsia="zh-CN"/>
        </w:rPr>
        <w:t>4</w:t>
      </w:r>
      <w:r>
        <w:rPr>
          <w:rFonts w:hint="eastAsia" w:ascii="仿宋" w:hAnsi="仿宋" w:eastAsia="仿宋"/>
          <w:bCs/>
          <w:color w:val="000000"/>
          <w:sz w:val="32"/>
          <w:szCs w:val="32"/>
        </w:rPr>
        <w:t>月</w:t>
      </w:r>
      <w:r>
        <w:rPr>
          <w:rFonts w:hint="eastAsia" w:ascii="仿宋" w:hAnsi="仿宋" w:eastAsia="仿宋"/>
          <w:bCs/>
          <w:color w:val="000000"/>
          <w:sz w:val="32"/>
          <w:szCs w:val="32"/>
          <w:lang w:val="en-US" w:eastAsia="zh-CN"/>
        </w:rPr>
        <w:t>28日</w:t>
      </w:r>
      <w:r>
        <w:rPr>
          <w:rFonts w:hint="eastAsia" w:ascii="仿宋_GB2312" w:hAnsi="宋体" w:eastAsia="仿宋_GB2312"/>
          <w:bCs/>
          <w:color w:val="000000"/>
          <w:sz w:val="28"/>
          <w:szCs w:val="28"/>
        </w:rPr>
        <w:br w:type="page"/>
      </w:r>
      <w:r>
        <w:rPr>
          <w:rFonts w:hint="eastAsia" w:ascii="仿宋" w:hAnsi="仿宋" w:eastAsia="仿宋"/>
          <w:b/>
          <w:color w:val="000000"/>
          <w:kern w:val="2"/>
          <w:sz w:val="32"/>
          <w:szCs w:val="32"/>
        </w:rPr>
        <w:t>中南财经政法大学“优秀研究生自办刊物单项奖”申报表</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263"/>
        <w:gridCol w:w="1975"/>
        <w:gridCol w:w="2160"/>
        <w:gridCol w:w="2064"/>
      </w:tblGrid>
      <w:tr w14:paraId="593B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165" w:type="dxa"/>
            <w:gridSpan w:val="2"/>
            <w:noWrap w:val="0"/>
            <w:vAlign w:val="center"/>
          </w:tcPr>
          <w:p w14:paraId="28123782">
            <w:pPr>
              <w:spacing w:line="460" w:lineRule="exact"/>
              <w:jc w:val="center"/>
              <w:rPr>
                <w:rFonts w:hint="eastAsia" w:ascii="仿宋" w:hAnsi="仿宋" w:eastAsia="仿宋"/>
                <w:color w:val="000000"/>
                <w:sz w:val="24"/>
                <w:lang w:eastAsia="zh-CN"/>
              </w:rPr>
            </w:pPr>
            <w:r>
              <w:rPr>
                <w:rFonts w:hint="eastAsia" w:ascii="仿宋" w:hAnsi="仿宋" w:eastAsia="仿宋"/>
                <w:color w:val="000000"/>
                <w:sz w:val="24"/>
                <w:lang w:eastAsia="zh-CN"/>
              </w:rPr>
              <w:t>学院</w:t>
            </w:r>
          </w:p>
        </w:tc>
        <w:tc>
          <w:tcPr>
            <w:tcW w:w="6199" w:type="dxa"/>
            <w:gridSpan w:val="3"/>
            <w:noWrap w:val="0"/>
            <w:vAlign w:val="center"/>
          </w:tcPr>
          <w:p w14:paraId="3AB6B89C">
            <w:pPr>
              <w:spacing w:line="460" w:lineRule="exact"/>
              <w:jc w:val="center"/>
              <w:rPr>
                <w:rFonts w:hint="eastAsia" w:ascii="仿宋" w:hAnsi="仿宋" w:eastAsia="仿宋"/>
                <w:b/>
                <w:color w:val="000000"/>
                <w:sz w:val="24"/>
              </w:rPr>
            </w:pPr>
          </w:p>
        </w:tc>
      </w:tr>
      <w:tr w14:paraId="5038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165" w:type="dxa"/>
            <w:gridSpan w:val="2"/>
            <w:noWrap w:val="0"/>
            <w:vAlign w:val="center"/>
          </w:tcPr>
          <w:p w14:paraId="435F9E56">
            <w:pPr>
              <w:spacing w:line="460" w:lineRule="exact"/>
              <w:jc w:val="center"/>
              <w:rPr>
                <w:rFonts w:hint="eastAsia" w:ascii="仿宋" w:hAnsi="仿宋" w:eastAsia="仿宋"/>
                <w:color w:val="000000"/>
                <w:sz w:val="24"/>
              </w:rPr>
            </w:pPr>
            <w:r>
              <w:rPr>
                <w:rFonts w:hint="eastAsia" w:ascii="仿宋" w:hAnsi="仿宋" w:eastAsia="仿宋"/>
                <w:color w:val="000000"/>
                <w:sz w:val="24"/>
              </w:rPr>
              <w:t>自办刊物名称</w:t>
            </w:r>
          </w:p>
        </w:tc>
        <w:tc>
          <w:tcPr>
            <w:tcW w:w="6199" w:type="dxa"/>
            <w:gridSpan w:val="3"/>
            <w:noWrap w:val="0"/>
            <w:vAlign w:val="center"/>
          </w:tcPr>
          <w:p w14:paraId="0E6B3792">
            <w:pPr>
              <w:spacing w:line="460" w:lineRule="exact"/>
              <w:jc w:val="center"/>
              <w:rPr>
                <w:rFonts w:hint="eastAsia" w:ascii="仿宋" w:hAnsi="仿宋" w:eastAsia="仿宋"/>
                <w:b/>
                <w:color w:val="000000"/>
                <w:sz w:val="24"/>
              </w:rPr>
            </w:pPr>
          </w:p>
        </w:tc>
      </w:tr>
      <w:tr w14:paraId="0B71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5" w:type="dxa"/>
            <w:gridSpan w:val="2"/>
            <w:noWrap w:val="0"/>
            <w:vAlign w:val="center"/>
          </w:tcPr>
          <w:p w14:paraId="03912DB8">
            <w:pPr>
              <w:spacing w:line="460" w:lineRule="exact"/>
              <w:jc w:val="center"/>
              <w:rPr>
                <w:rFonts w:hint="eastAsia" w:ascii="仿宋" w:hAnsi="仿宋" w:eastAsia="仿宋"/>
                <w:color w:val="000000"/>
                <w:sz w:val="24"/>
              </w:rPr>
            </w:pPr>
            <w:r>
              <w:rPr>
                <w:rFonts w:hint="eastAsia" w:ascii="仿宋" w:hAnsi="仿宋" w:eastAsia="仿宋"/>
                <w:color w:val="000000"/>
                <w:sz w:val="24"/>
              </w:rPr>
              <w:t>刊物级别</w:t>
            </w:r>
          </w:p>
        </w:tc>
        <w:tc>
          <w:tcPr>
            <w:tcW w:w="1975" w:type="dxa"/>
            <w:noWrap w:val="0"/>
            <w:vAlign w:val="center"/>
          </w:tcPr>
          <w:p w14:paraId="202D6B09">
            <w:pPr>
              <w:spacing w:line="460" w:lineRule="exact"/>
              <w:jc w:val="center"/>
              <w:rPr>
                <w:rFonts w:hint="eastAsia" w:ascii="仿宋" w:hAnsi="仿宋" w:eastAsia="仿宋"/>
                <w:color w:val="000000"/>
                <w:sz w:val="24"/>
              </w:rPr>
            </w:pPr>
          </w:p>
        </w:tc>
        <w:tc>
          <w:tcPr>
            <w:tcW w:w="2160" w:type="dxa"/>
            <w:noWrap w:val="0"/>
            <w:vAlign w:val="center"/>
          </w:tcPr>
          <w:p w14:paraId="5C04BFC1">
            <w:pPr>
              <w:spacing w:line="460" w:lineRule="exact"/>
              <w:ind w:left="113" w:right="113"/>
              <w:jc w:val="center"/>
              <w:rPr>
                <w:rFonts w:hint="eastAsia" w:ascii="仿宋" w:hAnsi="仿宋" w:eastAsia="仿宋"/>
                <w:color w:val="000000"/>
                <w:sz w:val="24"/>
              </w:rPr>
            </w:pPr>
            <w:r>
              <w:rPr>
                <w:rFonts w:hint="eastAsia" w:ascii="仿宋" w:hAnsi="仿宋" w:eastAsia="仿宋"/>
                <w:color w:val="000000"/>
                <w:sz w:val="24"/>
              </w:rPr>
              <w:t>刊物类别</w:t>
            </w:r>
          </w:p>
        </w:tc>
        <w:tc>
          <w:tcPr>
            <w:tcW w:w="2064" w:type="dxa"/>
            <w:noWrap w:val="0"/>
            <w:vAlign w:val="center"/>
          </w:tcPr>
          <w:p w14:paraId="1CC6901D">
            <w:pPr>
              <w:spacing w:line="460" w:lineRule="exact"/>
              <w:jc w:val="center"/>
              <w:rPr>
                <w:rFonts w:hint="eastAsia" w:ascii="仿宋" w:hAnsi="仿宋" w:eastAsia="仿宋"/>
                <w:color w:val="000000"/>
                <w:sz w:val="24"/>
              </w:rPr>
            </w:pPr>
          </w:p>
        </w:tc>
      </w:tr>
      <w:tr w14:paraId="6DB1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165" w:type="dxa"/>
            <w:gridSpan w:val="2"/>
            <w:noWrap w:val="0"/>
            <w:vAlign w:val="center"/>
          </w:tcPr>
          <w:p w14:paraId="7383ECC7">
            <w:pPr>
              <w:spacing w:line="460" w:lineRule="exact"/>
              <w:jc w:val="center"/>
              <w:rPr>
                <w:rFonts w:ascii="仿宋" w:hAnsi="仿宋" w:eastAsia="仿宋"/>
                <w:color w:val="000000"/>
                <w:sz w:val="24"/>
              </w:rPr>
            </w:pPr>
            <w:r>
              <w:rPr>
                <w:rFonts w:hint="eastAsia" w:ascii="仿宋" w:hAnsi="仿宋" w:eastAsia="仿宋"/>
                <w:color w:val="000000"/>
                <w:sz w:val="24"/>
              </w:rPr>
              <w:t>出刊周期</w:t>
            </w:r>
          </w:p>
        </w:tc>
        <w:tc>
          <w:tcPr>
            <w:tcW w:w="1975" w:type="dxa"/>
            <w:noWrap w:val="0"/>
            <w:vAlign w:val="center"/>
          </w:tcPr>
          <w:p w14:paraId="3633F75D">
            <w:pPr>
              <w:spacing w:line="460" w:lineRule="exact"/>
              <w:jc w:val="center"/>
              <w:rPr>
                <w:rFonts w:hint="eastAsia" w:ascii="仿宋" w:hAnsi="仿宋" w:eastAsia="仿宋"/>
                <w:b/>
                <w:color w:val="000000"/>
                <w:sz w:val="24"/>
              </w:rPr>
            </w:pPr>
          </w:p>
        </w:tc>
        <w:tc>
          <w:tcPr>
            <w:tcW w:w="2160" w:type="dxa"/>
            <w:noWrap w:val="0"/>
            <w:vAlign w:val="center"/>
          </w:tcPr>
          <w:p w14:paraId="6E17EF95">
            <w:pPr>
              <w:spacing w:line="460" w:lineRule="exact"/>
              <w:ind w:left="113" w:right="113"/>
              <w:jc w:val="center"/>
              <w:rPr>
                <w:rFonts w:hint="eastAsia" w:ascii="仿宋" w:hAnsi="仿宋" w:eastAsia="仿宋"/>
                <w:color w:val="000000"/>
                <w:sz w:val="24"/>
              </w:rPr>
            </w:pPr>
            <w:r>
              <w:rPr>
                <w:rFonts w:hint="eastAsia" w:ascii="仿宋" w:hAnsi="仿宋" w:eastAsia="仿宋"/>
                <w:color w:val="000000"/>
                <w:sz w:val="24"/>
              </w:rPr>
              <w:t>出刊期数</w:t>
            </w:r>
          </w:p>
        </w:tc>
        <w:tc>
          <w:tcPr>
            <w:tcW w:w="2064" w:type="dxa"/>
            <w:noWrap w:val="0"/>
            <w:vAlign w:val="center"/>
          </w:tcPr>
          <w:p w14:paraId="6CA1BB05">
            <w:pPr>
              <w:spacing w:line="460" w:lineRule="exact"/>
              <w:jc w:val="center"/>
              <w:rPr>
                <w:rFonts w:hint="eastAsia" w:ascii="仿宋" w:hAnsi="仿宋" w:eastAsia="仿宋"/>
                <w:b/>
                <w:color w:val="000000"/>
                <w:sz w:val="24"/>
              </w:rPr>
            </w:pPr>
          </w:p>
        </w:tc>
      </w:tr>
      <w:tr w14:paraId="64F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0" w:hRule="atLeast"/>
        </w:trPr>
        <w:tc>
          <w:tcPr>
            <w:tcW w:w="902" w:type="dxa"/>
            <w:noWrap w:val="0"/>
            <w:textDirection w:val="tbRlV"/>
            <w:vAlign w:val="center"/>
          </w:tcPr>
          <w:p w14:paraId="68C98868">
            <w:pPr>
              <w:spacing w:line="460" w:lineRule="exact"/>
              <w:ind w:left="113" w:right="113"/>
              <w:jc w:val="center"/>
              <w:rPr>
                <w:rFonts w:hint="eastAsia" w:ascii="仿宋" w:hAnsi="仿宋" w:eastAsia="仿宋"/>
                <w:color w:val="000000"/>
                <w:sz w:val="24"/>
              </w:rPr>
            </w:pPr>
            <w:r>
              <w:rPr>
                <w:rFonts w:hint="eastAsia" w:ascii="仿宋" w:hAnsi="仿宋" w:eastAsia="仿宋"/>
                <w:color w:val="000000"/>
                <w:sz w:val="24"/>
              </w:rPr>
              <w:t>学院自办刊物情况概述</w:t>
            </w:r>
          </w:p>
        </w:tc>
        <w:tc>
          <w:tcPr>
            <w:tcW w:w="7462" w:type="dxa"/>
            <w:gridSpan w:val="4"/>
            <w:noWrap w:val="0"/>
            <w:vAlign w:val="center"/>
          </w:tcPr>
          <w:p w14:paraId="3523CD21">
            <w:pPr>
              <w:spacing w:line="460" w:lineRule="exact"/>
              <w:rPr>
                <w:rFonts w:hint="eastAsia" w:ascii="仿宋" w:hAnsi="仿宋" w:eastAsia="仿宋"/>
                <w:b/>
                <w:color w:val="000000"/>
                <w:sz w:val="24"/>
              </w:rPr>
            </w:pPr>
          </w:p>
          <w:p w14:paraId="1CE2C553">
            <w:pPr>
              <w:spacing w:line="460" w:lineRule="exact"/>
              <w:ind w:firstLine="3614" w:firstLineChars="1500"/>
              <w:jc w:val="center"/>
              <w:rPr>
                <w:rFonts w:hint="eastAsia" w:ascii="仿宋" w:hAnsi="仿宋" w:eastAsia="仿宋"/>
                <w:b/>
                <w:color w:val="000000"/>
                <w:sz w:val="24"/>
              </w:rPr>
            </w:pPr>
          </w:p>
        </w:tc>
      </w:tr>
      <w:tr w14:paraId="0100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8" w:hRule="atLeast"/>
        </w:trPr>
        <w:tc>
          <w:tcPr>
            <w:tcW w:w="902" w:type="dxa"/>
            <w:noWrap w:val="0"/>
            <w:textDirection w:val="tbRlV"/>
            <w:vAlign w:val="center"/>
          </w:tcPr>
          <w:p w14:paraId="3BE04249">
            <w:pPr>
              <w:spacing w:line="460" w:lineRule="exact"/>
              <w:ind w:left="113" w:leftChars="54" w:right="113" w:firstLine="120" w:firstLineChars="50"/>
              <w:jc w:val="center"/>
              <w:rPr>
                <w:rFonts w:hint="eastAsia" w:ascii="仿宋" w:hAnsi="仿宋" w:eastAsia="仿宋"/>
                <w:color w:val="000000"/>
                <w:sz w:val="24"/>
              </w:rPr>
            </w:pPr>
            <w:r>
              <w:rPr>
                <w:rFonts w:hint="eastAsia" w:ascii="仿宋" w:hAnsi="仿宋" w:eastAsia="仿宋"/>
                <w:color w:val="000000"/>
                <w:sz w:val="24"/>
              </w:rPr>
              <w:t>学 院 意 见</w:t>
            </w:r>
          </w:p>
        </w:tc>
        <w:tc>
          <w:tcPr>
            <w:tcW w:w="7462" w:type="dxa"/>
            <w:gridSpan w:val="4"/>
            <w:tcBorders>
              <w:right w:val="single" w:color="auto" w:sz="4" w:space="0"/>
            </w:tcBorders>
            <w:noWrap w:val="0"/>
            <w:vAlign w:val="top"/>
          </w:tcPr>
          <w:p w14:paraId="073CB626">
            <w:pPr>
              <w:widowControl/>
              <w:spacing w:line="460" w:lineRule="exact"/>
              <w:jc w:val="left"/>
              <w:rPr>
                <w:rFonts w:hint="eastAsia" w:ascii="仿宋" w:hAnsi="仿宋" w:eastAsia="仿宋"/>
                <w:color w:val="000000"/>
                <w:sz w:val="24"/>
              </w:rPr>
            </w:pPr>
          </w:p>
          <w:p w14:paraId="08BB5F85">
            <w:pPr>
              <w:widowControl/>
              <w:spacing w:line="460" w:lineRule="exact"/>
              <w:jc w:val="left"/>
              <w:rPr>
                <w:rFonts w:hint="eastAsia" w:ascii="仿宋" w:hAnsi="仿宋" w:eastAsia="仿宋"/>
                <w:color w:val="000000"/>
                <w:sz w:val="24"/>
              </w:rPr>
            </w:pPr>
          </w:p>
          <w:p w14:paraId="4CD3FBD1">
            <w:pPr>
              <w:widowControl/>
              <w:spacing w:line="460" w:lineRule="exact"/>
              <w:ind w:firstLine="4200" w:firstLineChars="1750"/>
              <w:jc w:val="left"/>
              <w:rPr>
                <w:rFonts w:hint="eastAsia" w:ascii="仿宋" w:hAnsi="仿宋" w:eastAsia="仿宋"/>
                <w:color w:val="000000"/>
                <w:sz w:val="24"/>
              </w:rPr>
            </w:pPr>
            <w:r>
              <w:rPr>
                <w:rFonts w:hint="eastAsia" w:ascii="仿宋" w:hAnsi="仿宋" w:eastAsia="仿宋"/>
                <w:color w:val="000000"/>
                <w:sz w:val="24"/>
              </w:rPr>
              <w:t>（签章）</w:t>
            </w:r>
          </w:p>
          <w:p w14:paraId="06BF103C">
            <w:pPr>
              <w:widowControl/>
              <w:spacing w:line="460" w:lineRule="exact"/>
              <w:jc w:val="left"/>
              <w:rPr>
                <w:rFonts w:hint="eastAsia" w:ascii="仿宋" w:hAnsi="仿宋" w:eastAsia="仿宋"/>
                <w:color w:val="000000"/>
                <w:sz w:val="24"/>
              </w:rPr>
            </w:pPr>
            <w:r>
              <w:rPr>
                <w:rFonts w:hint="eastAsia" w:ascii="仿宋" w:hAnsi="仿宋" w:eastAsia="仿宋"/>
                <w:color w:val="000000"/>
                <w:sz w:val="24"/>
              </w:rPr>
              <w:t xml:space="preserve">                                     年   月   日</w:t>
            </w:r>
          </w:p>
        </w:tc>
      </w:tr>
      <w:tr w14:paraId="7205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4" w:hRule="atLeast"/>
        </w:trPr>
        <w:tc>
          <w:tcPr>
            <w:tcW w:w="902" w:type="dxa"/>
            <w:noWrap w:val="0"/>
            <w:textDirection w:val="tbRlV"/>
            <w:vAlign w:val="center"/>
          </w:tcPr>
          <w:p w14:paraId="702B88F5">
            <w:pPr>
              <w:spacing w:line="460" w:lineRule="exact"/>
              <w:ind w:left="113" w:leftChars="54" w:right="113" w:firstLine="120" w:firstLineChars="50"/>
              <w:jc w:val="center"/>
              <w:rPr>
                <w:rFonts w:hint="eastAsia" w:ascii="仿宋" w:hAnsi="仿宋" w:eastAsia="仿宋"/>
                <w:color w:val="000000"/>
                <w:sz w:val="24"/>
              </w:rPr>
            </w:pPr>
            <w:r>
              <w:rPr>
                <w:rFonts w:hint="eastAsia" w:ascii="仿宋" w:hAnsi="仿宋" w:eastAsia="仿宋"/>
                <w:color w:val="000000"/>
                <w:sz w:val="24"/>
              </w:rPr>
              <w:t>党委研工部意见</w:t>
            </w:r>
          </w:p>
        </w:tc>
        <w:tc>
          <w:tcPr>
            <w:tcW w:w="7462" w:type="dxa"/>
            <w:gridSpan w:val="4"/>
            <w:noWrap w:val="0"/>
            <w:vAlign w:val="center"/>
          </w:tcPr>
          <w:p w14:paraId="78676ABF">
            <w:pPr>
              <w:spacing w:line="460" w:lineRule="exact"/>
              <w:rPr>
                <w:rFonts w:hint="eastAsia" w:ascii="仿宋" w:hAnsi="仿宋" w:eastAsia="仿宋"/>
                <w:color w:val="000000"/>
                <w:sz w:val="24"/>
              </w:rPr>
            </w:pPr>
          </w:p>
          <w:p w14:paraId="73DFC27B">
            <w:pPr>
              <w:spacing w:line="460" w:lineRule="exact"/>
              <w:jc w:val="center"/>
              <w:rPr>
                <w:rFonts w:hint="eastAsia" w:ascii="仿宋" w:hAnsi="仿宋" w:eastAsia="仿宋"/>
                <w:color w:val="000000"/>
                <w:sz w:val="24"/>
              </w:rPr>
            </w:pPr>
          </w:p>
          <w:p w14:paraId="75C3C651">
            <w:pPr>
              <w:spacing w:line="460" w:lineRule="exact"/>
              <w:ind w:right="480" w:firstLine="4200" w:firstLineChars="1750"/>
              <w:rPr>
                <w:rFonts w:hint="eastAsia" w:ascii="仿宋" w:hAnsi="仿宋" w:eastAsia="仿宋"/>
                <w:color w:val="000000"/>
                <w:sz w:val="24"/>
              </w:rPr>
            </w:pPr>
            <w:r>
              <w:rPr>
                <w:rFonts w:hint="eastAsia" w:ascii="仿宋" w:hAnsi="仿宋" w:eastAsia="仿宋"/>
                <w:color w:val="000000"/>
                <w:sz w:val="24"/>
              </w:rPr>
              <w:t>（签章）</w:t>
            </w:r>
          </w:p>
          <w:p w14:paraId="2590FE00">
            <w:pPr>
              <w:spacing w:line="460" w:lineRule="exact"/>
              <w:ind w:right="480" w:firstLine="3600" w:firstLineChars="1500"/>
              <w:rPr>
                <w:rFonts w:hint="eastAsia" w:ascii="仿宋" w:hAnsi="仿宋" w:eastAsia="仿宋"/>
                <w:b/>
                <w:color w:val="000000"/>
                <w:sz w:val="24"/>
              </w:rPr>
            </w:pPr>
            <w:r>
              <w:rPr>
                <w:rFonts w:hint="eastAsia" w:ascii="仿宋" w:hAnsi="仿宋" w:eastAsia="仿宋"/>
                <w:color w:val="000000"/>
                <w:sz w:val="24"/>
              </w:rPr>
              <w:t xml:space="preserve">    </w:t>
            </w:r>
            <w:r>
              <w:rPr>
                <w:rFonts w:hint="eastAsia" w:ascii="仿宋" w:hAnsi="仿宋" w:eastAsia="仿宋"/>
                <w:color w:val="000000"/>
                <w:sz w:val="24"/>
                <w:lang w:val="en-US" w:eastAsia="zh-CN"/>
              </w:rPr>
              <w:t xml:space="preserve">   </w:t>
            </w:r>
            <w:r>
              <w:rPr>
                <w:rFonts w:hint="eastAsia" w:ascii="仿宋" w:hAnsi="仿宋" w:eastAsia="仿宋"/>
                <w:color w:val="000000"/>
                <w:sz w:val="24"/>
              </w:rPr>
              <w:t xml:space="preserve">年  </w:t>
            </w:r>
            <w:r>
              <w:rPr>
                <w:rFonts w:hint="eastAsia" w:ascii="仿宋" w:hAnsi="仿宋" w:eastAsia="仿宋"/>
                <w:color w:val="000000"/>
                <w:sz w:val="24"/>
                <w:lang w:val="en-US" w:eastAsia="zh-CN"/>
              </w:rPr>
              <w:t xml:space="preserve"> </w:t>
            </w:r>
            <w:r>
              <w:rPr>
                <w:rFonts w:hint="eastAsia" w:ascii="仿宋" w:hAnsi="仿宋" w:eastAsia="仿宋"/>
                <w:color w:val="000000"/>
                <w:sz w:val="24"/>
              </w:rPr>
              <w:t xml:space="preserve">月  </w:t>
            </w:r>
            <w:r>
              <w:rPr>
                <w:rFonts w:hint="eastAsia" w:ascii="仿宋" w:hAnsi="仿宋" w:eastAsia="仿宋"/>
                <w:color w:val="000000"/>
                <w:sz w:val="24"/>
                <w:lang w:val="en-US" w:eastAsia="zh-CN"/>
              </w:rPr>
              <w:t xml:space="preserve"> </w:t>
            </w:r>
            <w:r>
              <w:rPr>
                <w:rFonts w:hint="eastAsia" w:ascii="仿宋" w:hAnsi="仿宋" w:eastAsia="仿宋"/>
                <w:color w:val="000000"/>
                <w:sz w:val="24"/>
              </w:rPr>
              <w:t>日</w:t>
            </w:r>
          </w:p>
        </w:tc>
      </w:tr>
      <w:tr w14:paraId="1954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902" w:type="dxa"/>
            <w:noWrap w:val="0"/>
            <w:textDirection w:val="tbRlV"/>
            <w:vAlign w:val="center"/>
          </w:tcPr>
          <w:p w14:paraId="2C7A8A8D">
            <w:pPr>
              <w:spacing w:line="460" w:lineRule="exact"/>
              <w:ind w:left="113" w:right="113"/>
              <w:jc w:val="center"/>
              <w:rPr>
                <w:rFonts w:hint="eastAsia" w:ascii="仿宋" w:hAnsi="仿宋" w:eastAsia="仿宋"/>
                <w:color w:val="000000"/>
                <w:sz w:val="24"/>
              </w:rPr>
            </w:pPr>
            <w:r>
              <w:rPr>
                <w:rFonts w:hint="eastAsia" w:ascii="仿宋" w:hAnsi="仿宋" w:eastAsia="仿宋"/>
                <w:color w:val="000000"/>
                <w:sz w:val="24"/>
              </w:rPr>
              <w:t>备注</w:t>
            </w:r>
          </w:p>
        </w:tc>
        <w:tc>
          <w:tcPr>
            <w:tcW w:w="7462" w:type="dxa"/>
            <w:gridSpan w:val="4"/>
            <w:noWrap w:val="0"/>
            <w:vAlign w:val="center"/>
          </w:tcPr>
          <w:p w14:paraId="68BEBC75">
            <w:pPr>
              <w:spacing w:line="460" w:lineRule="exact"/>
              <w:jc w:val="center"/>
              <w:rPr>
                <w:rFonts w:hint="eastAsia" w:ascii="仿宋" w:hAnsi="仿宋" w:eastAsia="仿宋"/>
                <w:b/>
                <w:color w:val="000000"/>
                <w:sz w:val="24"/>
              </w:rPr>
            </w:pPr>
          </w:p>
        </w:tc>
      </w:tr>
    </w:tbl>
    <w:p w14:paraId="426EE764">
      <w:pPr>
        <w:spacing w:line="460" w:lineRule="exact"/>
        <w:ind w:firstLine="315" w:firstLineChars="150"/>
        <w:rPr>
          <w:rFonts w:hint="eastAsia" w:ascii="仿宋_GB2312" w:hAnsi="仿宋" w:eastAsia="仿宋_GB2312"/>
          <w:color w:val="000000"/>
          <w:szCs w:val="21"/>
        </w:rPr>
      </w:pPr>
      <w:r>
        <w:rPr>
          <w:rFonts w:hint="eastAsia" w:ascii="仿宋_GB2312" w:hAnsi="仿宋" w:eastAsia="仿宋_GB2312"/>
          <w:color w:val="000000"/>
          <w:szCs w:val="21"/>
        </w:rPr>
        <w:t>说明：1. 此表同其他申报材料一并上报。2.此表可附页。</w:t>
      </w:r>
    </w:p>
    <w:p w14:paraId="6F981D88">
      <w:pPr>
        <w:spacing w:line="460" w:lineRule="exact"/>
        <w:rPr>
          <w:rFonts w:hint="eastAsia" w:ascii="仿宋_GB2312" w:eastAsia="仿宋_GB2312"/>
          <w:bCs/>
          <w:color w:val="000000"/>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N2ExOTY5NDBlMzY3NmU1N2M0YzkwNGM1MTY4NzgifQ=="/>
  </w:docVars>
  <w:rsids>
    <w:rsidRoot w:val="00172A27"/>
    <w:rsid w:val="00057A6A"/>
    <w:rsid w:val="00085AFD"/>
    <w:rsid w:val="000E1414"/>
    <w:rsid w:val="000E3D28"/>
    <w:rsid w:val="000E484C"/>
    <w:rsid w:val="000E6633"/>
    <w:rsid w:val="00100637"/>
    <w:rsid w:val="0010336D"/>
    <w:rsid w:val="00114768"/>
    <w:rsid w:val="001428EC"/>
    <w:rsid w:val="0015398A"/>
    <w:rsid w:val="00166E7A"/>
    <w:rsid w:val="0018492C"/>
    <w:rsid w:val="0019541E"/>
    <w:rsid w:val="00200ECA"/>
    <w:rsid w:val="00223B7C"/>
    <w:rsid w:val="00227B9C"/>
    <w:rsid w:val="0029235E"/>
    <w:rsid w:val="002A60DF"/>
    <w:rsid w:val="002B10F8"/>
    <w:rsid w:val="002C1C5C"/>
    <w:rsid w:val="002D4AD7"/>
    <w:rsid w:val="002E7A63"/>
    <w:rsid w:val="00322910"/>
    <w:rsid w:val="00373576"/>
    <w:rsid w:val="00393043"/>
    <w:rsid w:val="003A4229"/>
    <w:rsid w:val="003B5F3A"/>
    <w:rsid w:val="003C1B76"/>
    <w:rsid w:val="003C542F"/>
    <w:rsid w:val="003E2C3D"/>
    <w:rsid w:val="00425EB5"/>
    <w:rsid w:val="00453B7A"/>
    <w:rsid w:val="00464168"/>
    <w:rsid w:val="004649BF"/>
    <w:rsid w:val="004735C7"/>
    <w:rsid w:val="0047538C"/>
    <w:rsid w:val="0049425E"/>
    <w:rsid w:val="004968EA"/>
    <w:rsid w:val="004D0C77"/>
    <w:rsid w:val="004D1D5C"/>
    <w:rsid w:val="004E7298"/>
    <w:rsid w:val="004F0349"/>
    <w:rsid w:val="004F4DE6"/>
    <w:rsid w:val="004F794D"/>
    <w:rsid w:val="0051795A"/>
    <w:rsid w:val="00534861"/>
    <w:rsid w:val="00555C2C"/>
    <w:rsid w:val="0059524A"/>
    <w:rsid w:val="005A386E"/>
    <w:rsid w:val="005E22F1"/>
    <w:rsid w:val="005F7B0A"/>
    <w:rsid w:val="005F7F84"/>
    <w:rsid w:val="00613ECF"/>
    <w:rsid w:val="00650D5E"/>
    <w:rsid w:val="00682B44"/>
    <w:rsid w:val="006D0319"/>
    <w:rsid w:val="006D07ED"/>
    <w:rsid w:val="006E46F9"/>
    <w:rsid w:val="006E5A95"/>
    <w:rsid w:val="00715AFE"/>
    <w:rsid w:val="007272C6"/>
    <w:rsid w:val="00746111"/>
    <w:rsid w:val="00747D6F"/>
    <w:rsid w:val="00777B12"/>
    <w:rsid w:val="00795BDE"/>
    <w:rsid w:val="007E59BB"/>
    <w:rsid w:val="00803877"/>
    <w:rsid w:val="00817D54"/>
    <w:rsid w:val="0086122A"/>
    <w:rsid w:val="00861249"/>
    <w:rsid w:val="00875373"/>
    <w:rsid w:val="0088201A"/>
    <w:rsid w:val="008903D7"/>
    <w:rsid w:val="00891941"/>
    <w:rsid w:val="008B115A"/>
    <w:rsid w:val="008C125C"/>
    <w:rsid w:val="00934FAA"/>
    <w:rsid w:val="00947E8E"/>
    <w:rsid w:val="00961BE0"/>
    <w:rsid w:val="009671B3"/>
    <w:rsid w:val="00970A83"/>
    <w:rsid w:val="00983582"/>
    <w:rsid w:val="00983AC7"/>
    <w:rsid w:val="009D2BEE"/>
    <w:rsid w:val="009F4031"/>
    <w:rsid w:val="00A41618"/>
    <w:rsid w:val="00AA0ECA"/>
    <w:rsid w:val="00AB34B5"/>
    <w:rsid w:val="00AC0F2F"/>
    <w:rsid w:val="00AF6308"/>
    <w:rsid w:val="00AF677C"/>
    <w:rsid w:val="00B50A5C"/>
    <w:rsid w:val="00B9535D"/>
    <w:rsid w:val="00BB68C2"/>
    <w:rsid w:val="00BE42D7"/>
    <w:rsid w:val="00C0770E"/>
    <w:rsid w:val="00C306AC"/>
    <w:rsid w:val="00C6192A"/>
    <w:rsid w:val="00C808B9"/>
    <w:rsid w:val="00CB00DC"/>
    <w:rsid w:val="00CD46CA"/>
    <w:rsid w:val="00CD6213"/>
    <w:rsid w:val="00D71AA4"/>
    <w:rsid w:val="00DB533F"/>
    <w:rsid w:val="00DC0635"/>
    <w:rsid w:val="00E24935"/>
    <w:rsid w:val="00E24B40"/>
    <w:rsid w:val="00E336AC"/>
    <w:rsid w:val="00E74BCD"/>
    <w:rsid w:val="00E910C2"/>
    <w:rsid w:val="00E9621E"/>
    <w:rsid w:val="00EB37C8"/>
    <w:rsid w:val="00EE4110"/>
    <w:rsid w:val="00F627C9"/>
    <w:rsid w:val="00F645F7"/>
    <w:rsid w:val="00FB451A"/>
    <w:rsid w:val="00FD0CFD"/>
    <w:rsid w:val="015123B9"/>
    <w:rsid w:val="021A3310"/>
    <w:rsid w:val="021E0AAE"/>
    <w:rsid w:val="02B33D26"/>
    <w:rsid w:val="031D2F6A"/>
    <w:rsid w:val="042143B5"/>
    <w:rsid w:val="064E0EDC"/>
    <w:rsid w:val="0738637A"/>
    <w:rsid w:val="07671B76"/>
    <w:rsid w:val="07B1043D"/>
    <w:rsid w:val="099C6176"/>
    <w:rsid w:val="09CD74D7"/>
    <w:rsid w:val="0BCB3FD2"/>
    <w:rsid w:val="0BF17F03"/>
    <w:rsid w:val="0C146E7E"/>
    <w:rsid w:val="0E166B91"/>
    <w:rsid w:val="0ED764B5"/>
    <w:rsid w:val="11A079F7"/>
    <w:rsid w:val="11D86816"/>
    <w:rsid w:val="12323B41"/>
    <w:rsid w:val="13824654"/>
    <w:rsid w:val="13FC4407"/>
    <w:rsid w:val="18C00767"/>
    <w:rsid w:val="19794375"/>
    <w:rsid w:val="19D24F47"/>
    <w:rsid w:val="1A507676"/>
    <w:rsid w:val="1C291184"/>
    <w:rsid w:val="1C444377"/>
    <w:rsid w:val="1CAE51B8"/>
    <w:rsid w:val="1D952CE1"/>
    <w:rsid w:val="2069548A"/>
    <w:rsid w:val="21405D58"/>
    <w:rsid w:val="219643FB"/>
    <w:rsid w:val="21FE60F0"/>
    <w:rsid w:val="22884B87"/>
    <w:rsid w:val="22B8754F"/>
    <w:rsid w:val="22FF541D"/>
    <w:rsid w:val="246806BE"/>
    <w:rsid w:val="24D52960"/>
    <w:rsid w:val="251F4325"/>
    <w:rsid w:val="25695DB4"/>
    <w:rsid w:val="28DF58FC"/>
    <w:rsid w:val="2921654E"/>
    <w:rsid w:val="2AD25A69"/>
    <w:rsid w:val="2C4E6380"/>
    <w:rsid w:val="2C667A30"/>
    <w:rsid w:val="2CFC6DCE"/>
    <w:rsid w:val="2D055142"/>
    <w:rsid w:val="2D82487B"/>
    <w:rsid w:val="2F8D2B02"/>
    <w:rsid w:val="2FAB79D3"/>
    <w:rsid w:val="31C840EA"/>
    <w:rsid w:val="32181DCA"/>
    <w:rsid w:val="3369430A"/>
    <w:rsid w:val="3426294E"/>
    <w:rsid w:val="34D87B15"/>
    <w:rsid w:val="36840899"/>
    <w:rsid w:val="3839510F"/>
    <w:rsid w:val="38F604E8"/>
    <w:rsid w:val="39140E81"/>
    <w:rsid w:val="3A2F1E02"/>
    <w:rsid w:val="3B396A07"/>
    <w:rsid w:val="3F781F33"/>
    <w:rsid w:val="40FD7046"/>
    <w:rsid w:val="41275841"/>
    <w:rsid w:val="4322139F"/>
    <w:rsid w:val="43417A6E"/>
    <w:rsid w:val="438F6BA3"/>
    <w:rsid w:val="44F862CD"/>
    <w:rsid w:val="4898408B"/>
    <w:rsid w:val="48B96763"/>
    <w:rsid w:val="496E0774"/>
    <w:rsid w:val="4B70451A"/>
    <w:rsid w:val="4C2666C8"/>
    <w:rsid w:val="4C8662E2"/>
    <w:rsid w:val="4DFB7599"/>
    <w:rsid w:val="4E202247"/>
    <w:rsid w:val="52AC0955"/>
    <w:rsid w:val="544B1EB2"/>
    <w:rsid w:val="550C230D"/>
    <w:rsid w:val="551D780B"/>
    <w:rsid w:val="56AC1443"/>
    <w:rsid w:val="577214E8"/>
    <w:rsid w:val="577C3FFA"/>
    <w:rsid w:val="58115440"/>
    <w:rsid w:val="581F0466"/>
    <w:rsid w:val="58935F89"/>
    <w:rsid w:val="5A102AB2"/>
    <w:rsid w:val="5ACB3D80"/>
    <w:rsid w:val="5D970D75"/>
    <w:rsid w:val="5E3C68A2"/>
    <w:rsid w:val="5EB6717E"/>
    <w:rsid w:val="5EE0512C"/>
    <w:rsid w:val="60DA724E"/>
    <w:rsid w:val="668D4A6B"/>
    <w:rsid w:val="67302B80"/>
    <w:rsid w:val="6733205B"/>
    <w:rsid w:val="6A621C3C"/>
    <w:rsid w:val="6A7E11BD"/>
    <w:rsid w:val="6C5515BC"/>
    <w:rsid w:val="6C563FEA"/>
    <w:rsid w:val="6C690484"/>
    <w:rsid w:val="6D6F261C"/>
    <w:rsid w:val="6DB61595"/>
    <w:rsid w:val="6ECB3941"/>
    <w:rsid w:val="722470FA"/>
    <w:rsid w:val="72C00BB0"/>
    <w:rsid w:val="73D910D1"/>
    <w:rsid w:val="73DC30BB"/>
    <w:rsid w:val="74AF2CB1"/>
    <w:rsid w:val="759F5D0A"/>
    <w:rsid w:val="78D356E4"/>
    <w:rsid w:val="7ABF1C79"/>
    <w:rsid w:val="7B000E3A"/>
    <w:rsid w:val="7BF14088"/>
    <w:rsid w:val="7D0A0929"/>
    <w:rsid w:val="7D2E02E5"/>
    <w:rsid w:val="7DB43B07"/>
    <w:rsid w:val="7DC815CC"/>
    <w:rsid w:val="7F9951FE"/>
    <w:rsid w:val="FE778F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Emphasis"/>
    <w:qFormat/>
    <w:uiPriority w:val="0"/>
    <w:rPr>
      <w:i/>
    </w:rPr>
  </w:style>
  <w:style w:type="character" w:styleId="11">
    <w:name w:val="annotation reference"/>
    <w:qFormat/>
    <w:uiPriority w:val="0"/>
    <w:rPr>
      <w:sz w:val="21"/>
      <w:szCs w:val="21"/>
    </w:rPr>
  </w:style>
  <w:style w:type="character" w:customStyle="1" w:styleId="12">
    <w:name w:val="批注文字 字符"/>
    <w:link w:val="2"/>
    <w:qFormat/>
    <w:uiPriority w:val="0"/>
    <w:rPr>
      <w:kern w:val="2"/>
      <w:sz w:val="21"/>
      <w:szCs w:val="24"/>
    </w:rPr>
  </w:style>
  <w:style w:type="character" w:customStyle="1" w:styleId="13">
    <w:name w:val="批注框文本 字符"/>
    <w:link w:val="3"/>
    <w:qFormat/>
    <w:uiPriority w:val="0"/>
    <w:rPr>
      <w:kern w:val="2"/>
      <w:sz w:val="18"/>
      <w:szCs w:val="18"/>
    </w:rPr>
  </w:style>
  <w:style w:type="character" w:customStyle="1" w:styleId="14">
    <w:name w:val="批注主题 字符"/>
    <w:link w:val="6"/>
    <w:qFormat/>
    <w:uiPriority w:val="0"/>
    <w:rPr>
      <w:b/>
      <w:bCs/>
      <w:kern w:val="2"/>
      <w:sz w:val="21"/>
      <w:szCs w:val="24"/>
    </w:rPr>
  </w:style>
  <w:style w:type="paragraph" w:customStyle="1" w:styleId="15">
    <w:name w:val="p0"/>
    <w:basedOn w:val="1"/>
    <w:qFormat/>
    <w:uiPriority w:val="0"/>
    <w:pPr>
      <w:widowControl/>
    </w:pPr>
    <w:rPr>
      <w:kern w:val="0"/>
      <w:szCs w:val="21"/>
    </w:rPr>
  </w:style>
  <w:style w:type="paragraph" w:customStyle="1" w:styleId="16">
    <w:name w:val="_Style 15"/>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1481</Words>
  <Characters>1538</Characters>
  <Lines>11</Lines>
  <Paragraphs>3</Paragraphs>
  <TotalTime>5</TotalTime>
  <ScaleCrop>false</ScaleCrop>
  <LinksUpToDate>false</LinksUpToDate>
  <CharactersWithSpaces>1606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2022-05-06T14:32:00Z</dcterms:created>
  <dc:creator>Administrator</dc:creator>
  <cp:lastModifiedBy>付慧娟</cp:lastModifiedBy>
  <cp:lastPrinted>2018-05-08T17:00:00Z</cp:lastPrinted>
  <dcterms:modified xsi:type="dcterms:W3CDTF">2025-04-28T09:17:53Z</dcterms:modified>
  <dc:title>中南财经政法大学研究生会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7E499CE1E8BA4E28B1D347AF4460D96B_13</vt:lpwstr>
  </property>
  <property fmtid="{D5CDD505-2E9C-101B-9397-08002B2CF9AE}" pid="4" name="KSOTemplateDocerSaveRecord">
    <vt:lpwstr>eyJoZGlkIjoiNmUwOWU0NjllYWFjOTNmOGQzZjZlZWYwZWEzNWVmZjMifQ==</vt:lpwstr>
  </property>
</Properties>
</file>