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2F46FCA">
      <w:pPr>
        <w:outlineLvl w:val="0"/>
        <w:rPr>
          <w:rFonts w:hint="eastAsia" w:ascii="黑体" w:hAnsi="仿宋" w:eastAsia="黑体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黑体" w:hAnsi="仿宋" w:eastAsia="黑体"/>
          <w:b/>
          <w:bCs/>
          <w:color w:val="000000"/>
          <w:sz w:val="32"/>
          <w:szCs w:val="32"/>
          <w:highlight w:val="none"/>
        </w:rPr>
        <w:t>附件</w:t>
      </w:r>
      <w:r>
        <w:rPr>
          <w:rFonts w:hint="eastAsia" w:ascii="黑体" w:hAnsi="仿宋" w:eastAsia="黑体"/>
          <w:b/>
          <w:bCs/>
          <w:color w:val="00000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黑体" w:hAnsi="仿宋" w:eastAsia="黑体"/>
          <w:b/>
          <w:bCs/>
          <w:color w:val="000000"/>
          <w:sz w:val="32"/>
          <w:szCs w:val="32"/>
          <w:highlight w:val="none"/>
        </w:rPr>
        <w:t>:</w:t>
      </w:r>
    </w:p>
    <w:p w14:paraId="3C0946A0">
      <w:pPr>
        <w:jc w:val="center"/>
        <w:outlineLvl w:val="0"/>
        <w:rPr>
          <w:rFonts w:ascii="宋体" w:hAnsi="宋体"/>
          <w:b/>
          <w:bCs/>
          <w:color w:val="000000"/>
          <w:sz w:val="44"/>
          <w:szCs w:val="44"/>
        </w:rPr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中南财经政法大学</w:t>
      </w:r>
      <w:r>
        <w:rPr>
          <w:rFonts w:hint="eastAsia" w:ascii="宋体" w:hAnsi="宋体"/>
          <w:b/>
          <w:bCs/>
          <w:color w:val="000000"/>
          <w:sz w:val="44"/>
          <w:szCs w:val="44"/>
          <w:lang w:val="en-US" w:eastAsia="zh-CN"/>
        </w:rPr>
        <w:t>研究生会</w:t>
      </w:r>
      <w:r>
        <w:rPr>
          <w:rFonts w:hint="eastAsia" w:ascii="宋体" w:hAnsi="宋体"/>
          <w:b/>
          <w:bCs/>
          <w:color w:val="000000"/>
          <w:sz w:val="44"/>
          <w:szCs w:val="44"/>
        </w:rPr>
        <w:t>“权益服务单项奖”评分细则及申报表</w:t>
      </w:r>
    </w:p>
    <w:p w14:paraId="095B88DC">
      <w:pPr>
        <w:ind w:firstLine="643" w:firstLineChars="200"/>
        <w:outlineLvl w:val="0"/>
        <w:rPr>
          <w:rFonts w:hint="eastAsia" w:ascii="仿宋" w:hAnsi="仿宋" w:eastAsia="仿宋" w:cs="仿宋_GB2312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000000"/>
          <w:sz w:val="32"/>
          <w:szCs w:val="32"/>
        </w:rPr>
        <w:t>一、活动筹办方面（3</w:t>
      </w:r>
      <w:r>
        <w:rPr>
          <w:rFonts w:ascii="仿宋" w:hAnsi="仿宋" w:eastAsia="仿宋" w:cs="仿宋_GB2312"/>
          <w:b/>
          <w:color w:val="000000"/>
          <w:sz w:val="32"/>
          <w:szCs w:val="32"/>
        </w:rPr>
        <w:t>0</w:t>
      </w:r>
      <w:r>
        <w:rPr>
          <w:rFonts w:hint="eastAsia" w:ascii="仿宋" w:hAnsi="仿宋" w:eastAsia="仿宋" w:cs="仿宋_GB2312"/>
          <w:b/>
          <w:color w:val="000000"/>
          <w:sz w:val="32"/>
          <w:szCs w:val="32"/>
        </w:rPr>
        <w:t>分）</w:t>
      </w:r>
    </w:p>
    <w:p w14:paraId="31DE6C96"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（一）在权益服务相关活动中以</w:t>
      </w:r>
      <w:r>
        <w:rPr>
          <w:rFonts w:hint="eastAsia" w:ascii="仿宋" w:hAnsi="仿宋" w:eastAsia="仿宋"/>
          <w:color w:val="000000"/>
          <w:sz w:val="32"/>
          <w:szCs w:val="32"/>
        </w:rPr>
        <w:t>习近平新时代中国特色社会主义思想为指导，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积极开展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参与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“我为师生办实事”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青研倾听交流荟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活动，紧紧围绕师生急难愁盼问题，用心用力用情服务师生，</w:t>
      </w:r>
      <w:r>
        <w:rPr>
          <w:rFonts w:ascii="仿宋" w:hAnsi="仿宋" w:eastAsia="仿宋" w:cs="仿宋_GB2312"/>
          <w:color w:val="000000"/>
          <w:sz w:val="32"/>
          <w:szCs w:val="32"/>
        </w:rPr>
        <w:t>7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分。</w:t>
      </w:r>
    </w:p>
    <w:p w14:paraId="414393FA"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（二）秉持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全心全意为研究生服务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理念，凝聚学生力量、服务同学成长、助力学校发展，积极培养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在校研究生自我教育、自我管理、自我服务</w:t>
      </w:r>
      <w:r>
        <w:rPr>
          <w:rStyle w:val="9"/>
          <w:rFonts w:hint="eastAsia" w:ascii="仿宋" w:hAnsi="仿宋" w:eastAsia="仿宋" w:cs="仿宋_GB2312"/>
          <w:sz w:val="32"/>
          <w:szCs w:val="32"/>
        </w:rPr>
        <w:t>、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自我监督的意识，</w:t>
      </w:r>
      <w:r>
        <w:rPr>
          <w:rFonts w:ascii="仿宋" w:hAnsi="仿宋" w:eastAsia="仿宋" w:cs="仿宋_GB2312"/>
          <w:color w:val="000000"/>
          <w:kern w:val="0"/>
          <w:sz w:val="32"/>
          <w:szCs w:val="32"/>
        </w:rPr>
        <w:t>6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分。</w:t>
      </w:r>
    </w:p>
    <w:p w14:paraId="5132BCE3"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（三）积极开展形式多样、贴近广大研究生的权益服务类活动，注重全面发展。在活动中</w:t>
      </w:r>
      <w:r>
        <w:rPr>
          <w:rFonts w:ascii="仿宋" w:hAnsi="仿宋" w:eastAsia="仿宋" w:cs="仿宋_GB2312"/>
          <w:color w:val="000000"/>
          <w:sz w:val="32"/>
          <w:szCs w:val="32"/>
        </w:rPr>
        <w:t>肯定劳动价值、倡导劳动实践、颂扬劳动精神、传播劳动文化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，并得到全校研究生的支持和参与，能回应广大研究生的合理诉求，</w:t>
      </w:r>
      <w:r>
        <w:rPr>
          <w:rFonts w:ascii="仿宋" w:hAnsi="仿宋" w:eastAsia="仿宋" w:cs="仿宋_GB2312"/>
          <w:color w:val="000000"/>
          <w:sz w:val="32"/>
          <w:szCs w:val="32"/>
        </w:rPr>
        <w:t>5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分。</w:t>
      </w:r>
    </w:p>
    <w:p w14:paraId="7A43CE87"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（四）活动申报材料完整，策划明确、清晰、合理，海报及展板设计美观，能够根据策划有效地开展活动，能够覆盖一定范围的学生群体，保证活动效果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活动举办在权益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维护与保障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、就业帮扶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与指导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等方面切实起到促进作用，</w:t>
      </w:r>
      <w:r>
        <w:rPr>
          <w:rFonts w:ascii="仿宋" w:hAnsi="仿宋" w:eastAsia="仿宋" w:cs="仿宋_GB2312"/>
          <w:color w:val="000000"/>
          <w:sz w:val="32"/>
          <w:szCs w:val="32"/>
        </w:rPr>
        <w:t>7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分。</w:t>
      </w:r>
    </w:p>
    <w:p w14:paraId="02870A56"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（五）活动结束后，能及时对活动情况进行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报道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与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宣传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，对活动筹办过程中的成功与不足进行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总结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与反思，</w:t>
      </w:r>
      <w:r>
        <w:rPr>
          <w:rFonts w:ascii="仿宋" w:hAnsi="仿宋" w:eastAsia="仿宋" w:cs="仿宋_GB2312"/>
          <w:color w:val="000000"/>
          <w:sz w:val="32"/>
          <w:szCs w:val="32"/>
        </w:rPr>
        <w:t>5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分。</w:t>
      </w:r>
    </w:p>
    <w:p w14:paraId="3490CA27">
      <w:pPr>
        <w:ind w:firstLine="643" w:firstLineChars="200"/>
        <w:outlineLvl w:val="0"/>
        <w:rPr>
          <w:rFonts w:hint="eastAsia" w:ascii="仿宋" w:hAnsi="仿宋" w:eastAsia="仿宋" w:cs="仿宋_GB2312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000000"/>
          <w:sz w:val="32"/>
          <w:szCs w:val="32"/>
        </w:rPr>
        <w:t>二、提案收集与落实方面（40分）</w:t>
      </w:r>
    </w:p>
    <w:p w14:paraId="42B4E6BB"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（一）设有专人负责收集、汇总、提交、跟进提案，3分。</w:t>
      </w:r>
    </w:p>
    <w:p w14:paraId="53605E7A"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（二）设有邮箱、QQ群、微信等多种渠道收集提案，3分。</w:t>
      </w:r>
      <w:bookmarkStart w:id="0" w:name="_GoBack"/>
      <w:bookmarkEnd w:id="0"/>
    </w:p>
    <w:p w14:paraId="68797425"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（三）定期做好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研究生同学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意见收集与跟进的宣传工作，确保提案收集工作覆盖全院师生，确保从各渠道收到提案后能做到及时回复，重大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紧急提案能实时上报，6分。</w:t>
      </w:r>
    </w:p>
    <w:p w14:paraId="28C18D43"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（四）收集整理和提交的提案应尽量覆盖研究生生活、学习等多方面，力求切合研究生实际需求，解决研究生现实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困难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，5分。</w:t>
      </w:r>
    </w:p>
    <w:p w14:paraId="4F12A013"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（五）灵活运用邮件、微信、座谈会、办公会等多种提交提案的形式，与校研究生会保持有效沟通，无不回复短信、邮件、电话通知、工作传达落实不到位等情况，及时反馈本院研究生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建议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意见、提案解决方案及落实情况，5分。</w:t>
      </w:r>
    </w:p>
    <w:p w14:paraId="616E3A82"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（六）准时参加研究生座谈会，积极有效地反映提案内容（单次会议无故缺勤扣2分，请假扣0.5分，共8分，扣完为止）。</w:t>
      </w:r>
    </w:p>
    <w:p w14:paraId="323307E3"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（七）积极配合校研究生会生活权益部工作，协助校内活动的宣传工作，积极参与校内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重要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活动，能提出建设性意见推动完善校园建设，5分。</w:t>
      </w:r>
    </w:p>
    <w:p w14:paraId="264DAADF"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（八）充分了解校研究生会发布的提案工作报告，并及时将其在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范围内进行公示，确保各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在校研究生及时知晓提案工作报告，5分。</w:t>
      </w:r>
    </w:p>
    <w:p w14:paraId="65AF384B">
      <w:pPr>
        <w:ind w:firstLine="643" w:firstLineChars="200"/>
        <w:outlineLvl w:val="0"/>
        <w:rPr>
          <w:rFonts w:hint="eastAsia" w:ascii="仿宋" w:hAnsi="仿宋" w:eastAsia="仿宋" w:cs="仿宋_GB2312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000000"/>
          <w:sz w:val="32"/>
          <w:szCs w:val="32"/>
        </w:rPr>
        <w:t>三、服务效果方面（</w:t>
      </w:r>
      <w:r>
        <w:rPr>
          <w:rFonts w:ascii="仿宋" w:hAnsi="仿宋" w:eastAsia="仿宋" w:cs="仿宋_GB2312"/>
          <w:b/>
          <w:color w:val="000000"/>
          <w:sz w:val="32"/>
          <w:szCs w:val="32"/>
        </w:rPr>
        <w:t>30</w:t>
      </w:r>
      <w:r>
        <w:rPr>
          <w:rFonts w:hint="eastAsia" w:ascii="仿宋" w:hAnsi="仿宋" w:eastAsia="仿宋" w:cs="仿宋_GB2312"/>
          <w:b/>
          <w:color w:val="000000"/>
          <w:sz w:val="32"/>
          <w:szCs w:val="32"/>
        </w:rPr>
        <w:t>分）</w:t>
      </w:r>
    </w:p>
    <w:p w14:paraId="35062969"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（一）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提交的提案规范有效，年度提案数量占提案总数量的比例与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研究生规模相当，提案内容无多次重复现象，</w:t>
      </w:r>
      <w:r>
        <w:rPr>
          <w:rFonts w:ascii="仿宋" w:hAnsi="仿宋" w:eastAsia="仿宋" w:cs="仿宋_GB2312"/>
          <w:color w:val="000000"/>
          <w:sz w:val="32"/>
          <w:szCs w:val="32"/>
        </w:rPr>
        <w:t>5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分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举办“研职有道”等就业指导类活动和其他权益服务类活动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活动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参与度高，实际参与人数不低于活动预计参与人数的60%，5分。</w:t>
      </w:r>
    </w:p>
    <w:p w14:paraId="0362FFF6"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（二）积极主动参与到校研究生会提案对接过程，与学校相关职能部门沟通并跟进提案的解决和落实，及时向提案人反馈相应信息，并能在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内进行公示和宣传，</w:t>
      </w:r>
      <w:r>
        <w:rPr>
          <w:rFonts w:ascii="仿宋" w:hAnsi="仿宋" w:eastAsia="仿宋" w:cs="仿宋_GB2312"/>
          <w:color w:val="000000"/>
          <w:sz w:val="32"/>
          <w:szCs w:val="32"/>
        </w:rPr>
        <w:t>10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分。</w:t>
      </w:r>
    </w:p>
    <w:p w14:paraId="15F8867F"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（三）在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的积极配合和共同努力下，有效提案的解决率超过80%，在校研究生能切实感受到问题的解决、制度的优化，10分。</w:t>
      </w:r>
    </w:p>
    <w:p w14:paraId="7FC152CC">
      <w:pPr>
        <w:adjustRightInd w:val="0"/>
        <w:ind w:firstLine="643" w:firstLineChars="200"/>
        <w:rPr>
          <w:rFonts w:hint="eastAsia" w:ascii="仿宋" w:hAnsi="仿宋" w:eastAsia="仿宋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/>
          <w:bCs/>
          <w:color w:val="000000"/>
          <w:sz w:val="32"/>
          <w:szCs w:val="32"/>
          <w:lang w:val="en-US" w:eastAsia="zh-CN"/>
        </w:rPr>
        <w:t>四、申报要求</w:t>
      </w:r>
    </w:p>
    <w:p w14:paraId="76F04046">
      <w:pPr>
        <w:adjustRightInd w:val="0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考核分为申报材料考核、风采展示和现场答辩。其中，申报材料由校研究生会考核小组依据本文件进行评分。风采展示由各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通过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学院研会微信公众号、学院官网等平台对所在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研究生会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权益服务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品牌活动进行简要介绍，校研究生会在“中南财经政法大学研究生会微信公众号”组织投票，根据投票结果计分。现场答辩由校研究生会秘书处组织各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主席团成员集中答辩。</w:t>
      </w:r>
    </w:p>
    <w:p w14:paraId="736F109C">
      <w:pPr>
        <w:adjustRightInd w:val="0"/>
        <w:ind w:firstLine="640" w:firstLineChars="200"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）</w:t>
      </w:r>
      <w:r>
        <w:rPr>
          <w:rFonts w:ascii="仿宋" w:hAnsi="仿宋" w:eastAsia="仿宋" w:cs="仿宋_GB2312"/>
          <w:color w:val="000000"/>
          <w:sz w:val="32"/>
          <w:szCs w:val="32"/>
        </w:rPr>
        <w:t>评比分数。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各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最终得分=</w:t>
      </w:r>
      <w:r>
        <w:rPr>
          <w:rFonts w:ascii="仿宋" w:hAnsi="仿宋" w:eastAsia="仿宋" w:cs="仿宋_GB2312"/>
          <w:color w:val="000000"/>
          <w:sz w:val="32"/>
          <w:szCs w:val="32"/>
        </w:rPr>
        <w:t>2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0%*申报材料得分+</w:t>
      </w:r>
      <w:r>
        <w:rPr>
          <w:rFonts w:ascii="仿宋" w:hAnsi="仿宋" w:eastAsia="仿宋" w:cs="仿宋_GB2312"/>
          <w:color w:val="000000"/>
          <w:sz w:val="32"/>
          <w:szCs w:val="32"/>
        </w:rPr>
        <w:t>3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0%*风采展示+</w:t>
      </w:r>
      <w:r>
        <w:rPr>
          <w:rFonts w:ascii="仿宋" w:hAnsi="仿宋" w:eastAsia="仿宋" w:cs="仿宋_GB2312"/>
          <w:color w:val="000000"/>
          <w:sz w:val="32"/>
          <w:szCs w:val="32"/>
        </w:rPr>
        <w:t>5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0%*答辩得分。其中，风采展示得分按照如下规则计算：</w:t>
      </w:r>
    </w:p>
    <w:p w14:paraId="61ADD1EA">
      <w:pPr>
        <w:adjustRightInd w:val="0"/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</w:p>
    <w:tbl>
      <w:tblPr>
        <w:tblStyle w:val="7"/>
        <w:tblW w:w="8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3"/>
        <w:gridCol w:w="3409"/>
      </w:tblGrid>
      <w:tr w14:paraId="520CF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8187C">
            <w:pPr>
              <w:jc w:val="center"/>
              <w:rPr>
                <w:rFonts w:hint="eastAsia" w:ascii="仿宋" w:hAnsi="仿宋" w:eastAsia="仿宋"/>
                <w:b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32"/>
                <w:szCs w:val="32"/>
              </w:rPr>
              <w:t>投票人数占</w:t>
            </w:r>
            <w:r>
              <w:rPr>
                <w:rFonts w:hint="eastAsia" w:ascii="仿宋" w:hAnsi="仿宋" w:eastAsia="仿宋"/>
                <w:b/>
                <w:color w:val="000000"/>
                <w:sz w:val="32"/>
                <w:szCs w:val="32"/>
                <w:lang w:eastAsia="zh-CN"/>
              </w:rPr>
              <w:t>学院</w:t>
            </w:r>
          </w:p>
          <w:p w14:paraId="0AF6F07B">
            <w:pPr>
              <w:jc w:val="center"/>
              <w:rPr>
                <w:rFonts w:hint="eastAsia" w:ascii="仿宋" w:hAnsi="仿宋" w:eastAsia="仿宋"/>
                <w:b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32"/>
                <w:szCs w:val="32"/>
              </w:rPr>
              <w:t>全日制硕士研究生总人数的比例</w:t>
            </w:r>
          </w:p>
        </w:tc>
        <w:tc>
          <w:tcPr>
            <w:tcW w:w="3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329E1">
            <w:pPr>
              <w:jc w:val="center"/>
              <w:rPr>
                <w:rFonts w:hint="eastAsia" w:ascii="仿宋" w:hAnsi="仿宋" w:eastAsia="仿宋"/>
                <w:b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32"/>
                <w:szCs w:val="32"/>
                <w:lang w:bidi="ar"/>
              </w:rPr>
              <w:t>风采展示得分</w:t>
            </w:r>
          </w:p>
        </w:tc>
      </w:tr>
      <w:tr w14:paraId="58A5A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EE6CA">
            <w:pPr>
              <w:spacing w:line="300" w:lineRule="auto"/>
              <w:jc w:val="center"/>
              <w:rPr>
                <w:rFonts w:hint="eastAsia"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≥90%</w:t>
            </w:r>
          </w:p>
        </w:tc>
        <w:tc>
          <w:tcPr>
            <w:tcW w:w="3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19AE0">
            <w:pPr>
              <w:spacing w:line="300" w:lineRule="auto"/>
              <w:jc w:val="center"/>
              <w:rPr>
                <w:rFonts w:hint="eastAsia"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100</w:t>
            </w:r>
          </w:p>
        </w:tc>
      </w:tr>
      <w:tr w14:paraId="0401E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58527">
            <w:pPr>
              <w:spacing w:line="300" w:lineRule="auto"/>
              <w:jc w:val="center"/>
              <w:rPr>
                <w:rFonts w:hint="eastAsia"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≥80%，＜90%</w:t>
            </w:r>
          </w:p>
        </w:tc>
        <w:tc>
          <w:tcPr>
            <w:tcW w:w="3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8EFD0">
            <w:pPr>
              <w:spacing w:line="300" w:lineRule="auto"/>
              <w:jc w:val="center"/>
              <w:rPr>
                <w:rFonts w:hint="eastAsia"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90</w:t>
            </w:r>
          </w:p>
        </w:tc>
      </w:tr>
      <w:tr w14:paraId="2867F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4BC37">
            <w:pPr>
              <w:spacing w:line="300" w:lineRule="auto"/>
              <w:jc w:val="center"/>
              <w:rPr>
                <w:rFonts w:hint="eastAsia"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  <w:lang w:bidi="ar"/>
              </w:rPr>
              <w:t>≥70%，＜80%</w:t>
            </w:r>
          </w:p>
        </w:tc>
        <w:tc>
          <w:tcPr>
            <w:tcW w:w="3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781D3">
            <w:pPr>
              <w:spacing w:line="300" w:lineRule="auto"/>
              <w:jc w:val="center"/>
              <w:rPr>
                <w:rFonts w:hint="eastAsia"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80</w:t>
            </w:r>
          </w:p>
        </w:tc>
      </w:tr>
      <w:tr w14:paraId="35A0E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42312">
            <w:pPr>
              <w:spacing w:line="300" w:lineRule="auto"/>
              <w:jc w:val="center"/>
              <w:rPr>
                <w:rFonts w:hint="eastAsia"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  <w:lang w:bidi="ar"/>
              </w:rPr>
              <w:t>≥60%，＜70%</w:t>
            </w:r>
          </w:p>
        </w:tc>
        <w:tc>
          <w:tcPr>
            <w:tcW w:w="3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C3212">
            <w:pPr>
              <w:spacing w:line="300" w:lineRule="auto"/>
              <w:jc w:val="center"/>
              <w:rPr>
                <w:rFonts w:hint="eastAsia"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70</w:t>
            </w:r>
          </w:p>
        </w:tc>
      </w:tr>
      <w:tr w14:paraId="19665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0D996">
            <w:pPr>
              <w:spacing w:line="300" w:lineRule="auto"/>
              <w:jc w:val="center"/>
              <w:rPr>
                <w:rFonts w:hint="eastAsia"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  <w:lang w:bidi="ar"/>
              </w:rPr>
              <w:t>≥50%，＜60%</w:t>
            </w:r>
          </w:p>
        </w:tc>
        <w:tc>
          <w:tcPr>
            <w:tcW w:w="3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3891C">
            <w:pPr>
              <w:spacing w:line="300" w:lineRule="auto"/>
              <w:jc w:val="center"/>
              <w:rPr>
                <w:rFonts w:hint="eastAsia"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60</w:t>
            </w:r>
          </w:p>
        </w:tc>
      </w:tr>
      <w:tr w14:paraId="75D22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9286A">
            <w:pPr>
              <w:spacing w:line="300" w:lineRule="auto"/>
              <w:jc w:val="center"/>
              <w:rPr>
                <w:rFonts w:hint="eastAsia"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  <w:lang w:bidi="ar"/>
              </w:rPr>
              <w:t>＜50%</w:t>
            </w:r>
          </w:p>
        </w:tc>
        <w:tc>
          <w:tcPr>
            <w:tcW w:w="3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3FFF">
            <w:pPr>
              <w:spacing w:line="300" w:lineRule="auto"/>
              <w:jc w:val="center"/>
              <w:rPr>
                <w:rFonts w:hint="eastAsia"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0</w:t>
            </w:r>
          </w:p>
        </w:tc>
      </w:tr>
    </w:tbl>
    <w:p w14:paraId="1A54A4C1">
      <w:pPr>
        <w:pStyle w:val="13"/>
        <w:adjustRightInd w:val="0"/>
        <w:ind w:firstLine="0" w:firstLineChars="0"/>
        <w:jc w:val="both"/>
        <w:rPr>
          <w:rFonts w:hint="eastAsia" w:ascii="仿宋" w:hAnsi="仿宋" w:eastAsia="仿宋" w:cs="仿宋_GB2312"/>
          <w:b/>
          <w:color w:val="000000"/>
          <w:sz w:val="32"/>
          <w:szCs w:val="32"/>
        </w:rPr>
      </w:pPr>
    </w:p>
    <w:p w14:paraId="6EE6DD76">
      <w:pPr>
        <w:pStyle w:val="13"/>
        <w:wordWrap w:val="0"/>
        <w:adjustRightInd w:val="0"/>
        <w:ind w:right="-58" w:firstLine="0" w:firstLineChars="0"/>
        <w:jc w:val="right"/>
        <w:rPr>
          <w:rFonts w:hint="eastAsia" w:ascii="仿宋" w:hAnsi="仿宋" w:eastAsia="仿宋" w:cs="仿宋_GB2312"/>
          <w:color w:val="000000"/>
          <w:kern w:val="2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2"/>
          <w:sz w:val="32"/>
          <w:szCs w:val="32"/>
        </w:rPr>
        <w:t>中南财经政法大学研究生会</w:t>
      </w:r>
    </w:p>
    <w:p w14:paraId="3CCC824A">
      <w:pPr>
        <w:pStyle w:val="13"/>
        <w:wordWrap w:val="0"/>
        <w:adjustRightInd w:val="0"/>
        <w:spacing w:after="156" w:afterLines="50" w:line="460" w:lineRule="exact"/>
        <w:ind w:right="105" w:rightChars="50"/>
        <w:jc w:val="righ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_GB2312"/>
          <w:color w:val="000000"/>
          <w:kern w:val="2"/>
          <w:sz w:val="32"/>
          <w:szCs w:val="32"/>
        </w:rPr>
        <w:t>2</w:t>
      </w:r>
      <w:r>
        <w:rPr>
          <w:rFonts w:ascii="仿宋" w:hAnsi="仿宋" w:eastAsia="仿宋" w:cs="仿宋_GB2312"/>
          <w:color w:val="000000"/>
          <w:kern w:val="2"/>
          <w:sz w:val="32"/>
          <w:szCs w:val="32"/>
        </w:rPr>
        <w:t>02</w:t>
      </w:r>
      <w:r>
        <w:rPr>
          <w:rFonts w:hint="eastAsia" w:ascii="仿宋" w:hAnsi="仿宋" w:eastAsia="仿宋" w:cs="仿宋_GB2312"/>
          <w:color w:val="000000"/>
          <w:kern w:val="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color w:val="000000"/>
          <w:kern w:val="2"/>
          <w:sz w:val="32"/>
          <w:szCs w:val="32"/>
        </w:rPr>
        <w:t>年</w:t>
      </w:r>
      <w:r>
        <w:rPr>
          <w:rFonts w:hint="eastAsia" w:ascii="仿宋" w:hAnsi="仿宋" w:eastAsia="仿宋" w:cs="仿宋_GB2312"/>
          <w:color w:val="000000"/>
          <w:kern w:val="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000000"/>
          <w:kern w:val="2"/>
          <w:sz w:val="32"/>
          <w:szCs w:val="32"/>
        </w:rPr>
        <w:t>月</w:t>
      </w:r>
      <w:r>
        <w:rPr>
          <w:rFonts w:hint="eastAsia" w:ascii="仿宋" w:hAnsi="仿宋" w:eastAsia="仿宋" w:cs="仿宋_GB2312"/>
          <w:color w:val="000000"/>
          <w:kern w:val="2"/>
          <w:sz w:val="32"/>
          <w:szCs w:val="32"/>
          <w:lang w:val="en-US" w:eastAsia="zh-CN"/>
        </w:rPr>
        <w:t>28日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br w:type="page"/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202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—202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学年研究生综合表彰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“权益服务单项奖”申报表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898"/>
        <w:gridCol w:w="838"/>
        <w:gridCol w:w="1995"/>
        <w:gridCol w:w="2040"/>
        <w:gridCol w:w="1842"/>
      </w:tblGrid>
      <w:tr w14:paraId="25055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800" w:type="dxa"/>
            <w:gridSpan w:val="2"/>
            <w:noWrap w:val="0"/>
            <w:vAlign w:val="center"/>
          </w:tcPr>
          <w:p w14:paraId="03F64697"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研究生会名称</w:t>
            </w:r>
          </w:p>
        </w:tc>
        <w:tc>
          <w:tcPr>
            <w:tcW w:w="6715" w:type="dxa"/>
            <w:gridSpan w:val="4"/>
            <w:noWrap w:val="0"/>
            <w:vAlign w:val="center"/>
          </w:tcPr>
          <w:p w14:paraId="0394DADA"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</w:tr>
      <w:tr w14:paraId="34068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02" w:type="dxa"/>
            <w:vMerge w:val="restart"/>
            <w:noWrap w:val="0"/>
            <w:textDirection w:val="tbRlV"/>
            <w:vAlign w:val="center"/>
          </w:tcPr>
          <w:p w14:paraId="22957A0C">
            <w:pPr>
              <w:spacing w:line="460" w:lineRule="exact"/>
              <w:ind w:left="113" w:right="113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基本情况</w:t>
            </w:r>
          </w:p>
        </w:tc>
        <w:tc>
          <w:tcPr>
            <w:tcW w:w="1736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3B3FC507">
            <w:pPr>
              <w:spacing w:line="4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有效提案数量</w:t>
            </w:r>
          </w:p>
        </w:tc>
        <w:tc>
          <w:tcPr>
            <w:tcW w:w="1995" w:type="dxa"/>
            <w:tcBorders>
              <w:top w:val="single" w:color="auto" w:sz="4" w:space="0"/>
            </w:tcBorders>
            <w:noWrap w:val="0"/>
            <w:vAlign w:val="top"/>
          </w:tcPr>
          <w:p w14:paraId="439836CF"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</w:tcBorders>
            <w:noWrap w:val="0"/>
            <w:vAlign w:val="center"/>
          </w:tcPr>
          <w:p w14:paraId="336E64C6">
            <w:pPr>
              <w:spacing w:line="4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已解决提案数量</w:t>
            </w:r>
          </w:p>
        </w:tc>
        <w:tc>
          <w:tcPr>
            <w:tcW w:w="1842" w:type="dxa"/>
            <w:tcBorders>
              <w:top w:val="single" w:color="auto" w:sz="4" w:space="0"/>
            </w:tcBorders>
            <w:noWrap w:val="0"/>
            <w:vAlign w:val="top"/>
          </w:tcPr>
          <w:p w14:paraId="7674D3AB"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</w:tr>
      <w:tr w14:paraId="6F14A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902" w:type="dxa"/>
            <w:vMerge w:val="continue"/>
            <w:noWrap w:val="0"/>
            <w:vAlign w:val="top"/>
          </w:tcPr>
          <w:p w14:paraId="5BC2813E"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1736" w:type="dxa"/>
            <w:gridSpan w:val="2"/>
            <w:noWrap w:val="0"/>
            <w:vAlign w:val="center"/>
          </w:tcPr>
          <w:p w14:paraId="54BE8A97"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座谈会负责人</w:t>
            </w:r>
          </w:p>
        </w:tc>
        <w:tc>
          <w:tcPr>
            <w:tcW w:w="1995" w:type="dxa"/>
            <w:noWrap w:val="0"/>
            <w:vAlign w:val="top"/>
          </w:tcPr>
          <w:p w14:paraId="3BE4259F"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087508A">
            <w:pPr>
              <w:spacing w:line="4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联系方式</w:t>
            </w:r>
          </w:p>
        </w:tc>
        <w:tc>
          <w:tcPr>
            <w:tcW w:w="1842" w:type="dxa"/>
            <w:noWrap w:val="0"/>
            <w:vAlign w:val="top"/>
          </w:tcPr>
          <w:p w14:paraId="284D939D">
            <w:pPr>
              <w:spacing w:line="460" w:lineRule="exact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</w:tc>
      </w:tr>
      <w:tr w14:paraId="5B6CC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2" w:hRule="atLeast"/>
        </w:trPr>
        <w:tc>
          <w:tcPr>
            <w:tcW w:w="902" w:type="dxa"/>
            <w:noWrap w:val="0"/>
            <w:textDirection w:val="tbRlV"/>
            <w:vAlign w:val="center"/>
          </w:tcPr>
          <w:p w14:paraId="5B1E6381">
            <w:pPr>
              <w:spacing w:line="460" w:lineRule="exact"/>
              <w:ind w:left="113" w:leftChars="54" w:right="113" w:firstLine="120" w:firstLineChars="50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提案反馈情况</w:t>
            </w:r>
          </w:p>
        </w:tc>
        <w:tc>
          <w:tcPr>
            <w:tcW w:w="7613" w:type="dxa"/>
            <w:gridSpan w:val="5"/>
            <w:noWrap w:val="0"/>
            <w:vAlign w:val="center"/>
          </w:tcPr>
          <w:p w14:paraId="331B879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</w:p>
          <w:p w14:paraId="7485786A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</w:p>
          <w:p w14:paraId="2D63D85B">
            <w:pPr>
              <w:spacing w:line="460" w:lineRule="exact"/>
              <w:ind w:firstLine="3614" w:firstLineChars="1500"/>
              <w:jc w:val="center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</w:p>
        </w:tc>
      </w:tr>
      <w:tr w14:paraId="15CDF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0" w:hRule="atLeast"/>
        </w:trPr>
        <w:tc>
          <w:tcPr>
            <w:tcW w:w="902" w:type="dxa"/>
            <w:noWrap w:val="0"/>
            <w:textDirection w:val="tbRlV"/>
            <w:vAlign w:val="center"/>
          </w:tcPr>
          <w:p w14:paraId="22D43716">
            <w:pPr>
              <w:spacing w:line="460" w:lineRule="exact"/>
              <w:ind w:left="113" w:leftChars="54" w:right="113" w:firstLine="120" w:firstLineChars="50"/>
              <w:jc w:val="center"/>
              <w:rPr>
                <w:rFonts w:hint="eastAsia" w:ascii="仿宋_GB2312" w:hAnsi="仿宋" w:eastAsia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活动</w:t>
            </w:r>
            <w:r>
              <w:rPr>
                <w:rFonts w:hint="eastAsia" w:ascii="仿宋_GB2312" w:hAnsi="仿宋" w:eastAsia="仿宋_GB2312"/>
                <w:color w:val="000000"/>
                <w:sz w:val="24"/>
                <w:lang w:val="en-US" w:eastAsia="zh-CN"/>
              </w:rPr>
              <w:t>情况</w:t>
            </w:r>
          </w:p>
        </w:tc>
        <w:tc>
          <w:tcPr>
            <w:tcW w:w="7613" w:type="dxa"/>
            <w:gridSpan w:val="5"/>
            <w:noWrap w:val="0"/>
            <w:vAlign w:val="center"/>
          </w:tcPr>
          <w:p w14:paraId="251714B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</w:p>
          <w:p w14:paraId="1FC4F030">
            <w:pPr>
              <w:spacing w:line="460" w:lineRule="exact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</w:p>
          <w:p w14:paraId="0DD5F8AB">
            <w:pPr>
              <w:spacing w:line="460" w:lineRule="exact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</w:p>
        </w:tc>
      </w:tr>
      <w:tr w14:paraId="490BE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0" w:hRule="atLeast"/>
        </w:trPr>
        <w:tc>
          <w:tcPr>
            <w:tcW w:w="902" w:type="dxa"/>
            <w:noWrap w:val="0"/>
            <w:textDirection w:val="tbRlV"/>
            <w:vAlign w:val="center"/>
          </w:tcPr>
          <w:p w14:paraId="03528CAE">
            <w:pPr>
              <w:spacing w:line="460" w:lineRule="exact"/>
              <w:ind w:left="113" w:leftChars="54" w:right="113" w:firstLine="120" w:firstLineChars="50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服务贡献概述</w:t>
            </w:r>
          </w:p>
        </w:tc>
        <w:tc>
          <w:tcPr>
            <w:tcW w:w="7613" w:type="dxa"/>
            <w:gridSpan w:val="5"/>
            <w:noWrap w:val="0"/>
            <w:vAlign w:val="center"/>
          </w:tcPr>
          <w:p w14:paraId="5B19BBF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</w:p>
          <w:p w14:paraId="7DD7A15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</w:p>
          <w:p w14:paraId="092D4398">
            <w:pPr>
              <w:spacing w:line="460" w:lineRule="exact"/>
              <w:ind w:firstLine="3614" w:firstLineChars="1500"/>
              <w:jc w:val="center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</w:p>
        </w:tc>
      </w:tr>
      <w:tr w14:paraId="04B0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2" w:hRule="atLeast"/>
        </w:trPr>
        <w:tc>
          <w:tcPr>
            <w:tcW w:w="902" w:type="dxa"/>
            <w:noWrap w:val="0"/>
            <w:textDirection w:val="tbRlV"/>
            <w:vAlign w:val="center"/>
          </w:tcPr>
          <w:p w14:paraId="76650381">
            <w:pPr>
              <w:spacing w:line="460" w:lineRule="exact"/>
              <w:ind w:left="113" w:leftChars="54" w:right="113" w:firstLine="120" w:firstLineChars="50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学 院 意 见</w:t>
            </w:r>
          </w:p>
        </w:tc>
        <w:tc>
          <w:tcPr>
            <w:tcW w:w="7613" w:type="dxa"/>
            <w:gridSpan w:val="5"/>
            <w:noWrap w:val="0"/>
            <w:vAlign w:val="center"/>
          </w:tcPr>
          <w:p w14:paraId="5A44694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</w:p>
          <w:p w14:paraId="481C3FE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</w:p>
          <w:p w14:paraId="2030E814">
            <w:pPr>
              <w:spacing w:line="460" w:lineRule="exact"/>
              <w:ind w:firstLine="4200" w:firstLineChars="1750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（签章）</w:t>
            </w:r>
          </w:p>
          <w:p w14:paraId="494E05F3">
            <w:pPr>
              <w:spacing w:line="460" w:lineRule="exact"/>
              <w:ind w:firstLine="3600" w:firstLineChars="1500"/>
              <w:jc w:val="center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年  月  日</w:t>
            </w:r>
          </w:p>
        </w:tc>
      </w:tr>
      <w:tr w14:paraId="11815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2" w:hRule="atLeast"/>
        </w:trPr>
        <w:tc>
          <w:tcPr>
            <w:tcW w:w="902" w:type="dxa"/>
            <w:noWrap w:val="0"/>
            <w:textDirection w:val="tbRlV"/>
            <w:vAlign w:val="center"/>
          </w:tcPr>
          <w:p w14:paraId="49F2A02A">
            <w:pPr>
              <w:spacing w:line="460" w:lineRule="exact"/>
              <w:ind w:right="113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党委研工部意见</w:t>
            </w:r>
          </w:p>
        </w:tc>
        <w:tc>
          <w:tcPr>
            <w:tcW w:w="7613" w:type="dxa"/>
            <w:gridSpan w:val="5"/>
            <w:noWrap w:val="0"/>
            <w:vAlign w:val="center"/>
          </w:tcPr>
          <w:p w14:paraId="3CCF9608">
            <w:pPr>
              <w:spacing w:line="4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  <w:p w14:paraId="319C6FCE">
            <w:pPr>
              <w:spacing w:line="4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</w:p>
          <w:p w14:paraId="1ABE9FDC">
            <w:pPr>
              <w:spacing w:line="460" w:lineRule="exact"/>
              <w:ind w:right="480" w:firstLine="4200" w:firstLineChars="1750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（签章）</w:t>
            </w:r>
          </w:p>
          <w:p w14:paraId="4A1C40E1">
            <w:pPr>
              <w:spacing w:line="460" w:lineRule="exact"/>
              <w:ind w:right="480" w:firstLine="3600" w:firstLineChars="1500"/>
              <w:jc w:val="center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年  月  日</w:t>
            </w:r>
          </w:p>
        </w:tc>
      </w:tr>
      <w:tr w14:paraId="2F438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902" w:type="dxa"/>
            <w:noWrap w:val="0"/>
            <w:textDirection w:val="tbRlV"/>
            <w:vAlign w:val="center"/>
          </w:tcPr>
          <w:p w14:paraId="1DE50AEF">
            <w:pPr>
              <w:spacing w:line="460" w:lineRule="exact"/>
              <w:ind w:left="113" w:right="113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备注</w:t>
            </w:r>
          </w:p>
        </w:tc>
        <w:tc>
          <w:tcPr>
            <w:tcW w:w="7613" w:type="dxa"/>
            <w:gridSpan w:val="5"/>
            <w:noWrap w:val="0"/>
            <w:vAlign w:val="center"/>
          </w:tcPr>
          <w:p w14:paraId="1C453D6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4"/>
              </w:rPr>
            </w:pPr>
          </w:p>
        </w:tc>
      </w:tr>
    </w:tbl>
    <w:p w14:paraId="64EE58B2">
      <w:pPr>
        <w:spacing w:line="360" w:lineRule="exact"/>
        <w:ind w:firstLine="315" w:firstLineChars="150"/>
        <w:rPr>
          <w:rFonts w:hint="eastAsia" w:ascii="仿宋_GB2312" w:hAnsi="仿宋" w:eastAsia="仿宋_GB2312"/>
          <w:color w:val="000000"/>
          <w:szCs w:val="21"/>
        </w:rPr>
      </w:pPr>
      <w:r>
        <w:rPr>
          <w:rFonts w:hint="eastAsia" w:ascii="仿宋_GB2312" w:hAnsi="仿宋" w:eastAsia="仿宋_GB2312"/>
          <w:color w:val="000000"/>
          <w:szCs w:val="21"/>
        </w:rPr>
        <w:t>说明：1. 此表同其他申报材料一并上报。2.此表可附页。</w:t>
      </w:r>
    </w:p>
    <w:p w14:paraId="0DD3B6E7">
      <w:pPr>
        <w:spacing w:line="360" w:lineRule="exact"/>
        <w:rPr>
          <w:rFonts w:hint="eastAsia" w:ascii="仿宋_GB2312" w:hAnsi="仿宋" w:eastAsia="仿宋_GB2312"/>
          <w:color w:val="000000"/>
          <w:szCs w:val="21"/>
        </w:rPr>
      </w:pPr>
    </w:p>
    <w:p w14:paraId="125320EF">
      <w:pPr>
        <w:wordWrap w:val="0"/>
        <w:spacing w:line="360" w:lineRule="exact"/>
        <w:ind w:firstLine="964" w:firstLineChars="400"/>
        <w:jc w:val="right"/>
        <w:rPr>
          <w:rFonts w:hint="eastAsia" w:ascii="仿宋_GB2312" w:hAnsi="宋体" w:eastAsia="仿宋_GB2312"/>
          <w:bCs/>
          <w:color w:val="000000"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color w:val="000000"/>
          <w:sz w:val="24"/>
        </w:rPr>
        <w:t xml:space="preserve">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wN2ExOTY5NDBlMzY3NmU1N2M0YzkwNGM1MTY4NzgifQ=="/>
  </w:docVars>
  <w:rsids>
    <w:rsidRoot w:val="00172A27"/>
    <w:rsid w:val="00005CD1"/>
    <w:rsid w:val="0001774D"/>
    <w:rsid w:val="00042DA4"/>
    <w:rsid w:val="00043734"/>
    <w:rsid w:val="0006583B"/>
    <w:rsid w:val="000B5F9E"/>
    <w:rsid w:val="000E1E36"/>
    <w:rsid w:val="00107D5C"/>
    <w:rsid w:val="00110613"/>
    <w:rsid w:val="00120ACD"/>
    <w:rsid w:val="001230B0"/>
    <w:rsid w:val="001331F0"/>
    <w:rsid w:val="00152C5D"/>
    <w:rsid w:val="00166C2E"/>
    <w:rsid w:val="00177A30"/>
    <w:rsid w:val="001A089B"/>
    <w:rsid w:val="001D2FC8"/>
    <w:rsid w:val="0020627F"/>
    <w:rsid w:val="0023288F"/>
    <w:rsid w:val="00252048"/>
    <w:rsid w:val="00256CF1"/>
    <w:rsid w:val="002754D4"/>
    <w:rsid w:val="0028780E"/>
    <w:rsid w:val="002D6A1F"/>
    <w:rsid w:val="002F34E9"/>
    <w:rsid w:val="002F3D17"/>
    <w:rsid w:val="00333634"/>
    <w:rsid w:val="00363169"/>
    <w:rsid w:val="003A2BE6"/>
    <w:rsid w:val="003A5100"/>
    <w:rsid w:val="003C2D2A"/>
    <w:rsid w:val="003D0570"/>
    <w:rsid w:val="004025EC"/>
    <w:rsid w:val="0042495C"/>
    <w:rsid w:val="004329F3"/>
    <w:rsid w:val="0044277D"/>
    <w:rsid w:val="00446AA4"/>
    <w:rsid w:val="00454144"/>
    <w:rsid w:val="0045512C"/>
    <w:rsid w:val="0046030E"/>
    <w:rsid w:val="00460BE5"/>
    <w:rsid w:val="00473789"/>
    <w:rsid w:val="00484D88"/>
    <w:rsid w:val="004F1355"/>
    <w:rsid w:val="00524005"/>
    <w:rsid w:val="005332B4"/>
    <w:rsid w:val="005470E3"/>
    <w:rsid w:val="00555D2F"/>
    <w:rsid w:val="005719B9"/>
    <w:rsid w:val="005A558E"/>
    <w:rsid w:val="005C3208"/>
    <w:rsid w:val="00621946"/>
    <w:rsid w:val="00660900"/>
    <w:rsid w:val="0067588D"/>
    <w:rsid w:val="00683C34"/>
    <w:rsid w:val="00696C42"/>
    <w:rsid w:val="006C2D5D"/>
    <w:rsid w:val="006E0B87"/>
    <w:rsid w:val="006E7C1C"/>
    <w:rsid w:val="007023DD"/>
    <w:rsid w:val="00707D06"/>
    <w:rsid w:val="0073542D"/>
    <w:rsid w:val="007532C8"/>
    <w:rsid w:val="0075446E"/>
    <w:rsid w:val="007846FE"/>
    <w:rsid w:val="007A3D2A"/>
    <w:rsid w:val="007B1C50"/>
    <w:rsid w:val="007B65B4"/>
    <w:rsid w:val="007F0A18"/>
    <w:rsid w:val="00825ED9"/>
    <w:rsid w:val="00846F7B"/>
    <w:rsid w:val="0085395D"/>
    <w:rsid w:val="008578EF"/>
    <w:rsid w:val="009042E7"/>
    <w:rsid w:val="009450E4"/>
    <w:rsid w:val="00957021"/>
    <w:rsid w:val="00961864"/>
    <w:rsid w:val="00961DB8"/>
    <w:rsid w:val="009A6757"/>
    <w:rsid w:val="00A16E08"/>
    <w:rsid w:val="00A32EFD"/>
    <w:rsid w:val="00A51803"/>
    <w:rsid w:val="00A74EFB"/>
    <w:rsid w:val="00AB4A21"/>
    <w:rsid w:val="00B4130A"/>
    <w:rsid w:val="00B448F1"/>
    <w:rsid w:val="00B518B1"/>
    <w:rsid w:val="00B53950"/>
    <w:rsid w:val="00B610CE"/>
    <w:rsid w:val="00BD4B2D"/>
    <w:rsid w:val="00BE1845"/>
    <w:rsid w:val="00C34F7C"/>
    <w:rsid w:val="00C56F65"/>
    <w:rsid w:val="00C62161"/>
    <w:rsid w:val="00C76D5B"/>
    <w:rsid w:val="00CA4294"/>
    <w:rsid w:val="00CC4476"/>
    <w:rsid w:val="00CC5393"/>
    <w:rsid w:val="00CD23D4"/>
    <w:rsid w:val="00D072CF"/>
    <w:rsid w:val="00D1224C"/>
    <w:rsid w:val="00D211EB"/>
    <w:rsid w:val="00D30FB0"/>
    <w:rsid w:val="00D5215D"/>
    <w:rsid w:val="00D67F28"/>
    <w:rsid w:val="00D90070"/>
    <w:rsid w:val="00DC0FDA"/>
    <w:rsid w:val="00DD0FF3"/>
    <w:rsid w:val="00DF39AA"/>
    <w:rsid w:val="00DF3E23"/>
    <w:rsid w:val="00E02491"/>
    <w:rsid w:val="00E118BE"/>
    <w:rsid w:val="00E14652"/>
    <w:rsid w:val="00E44A60"/>
    <w:rsid w:val="00E5107D"/>
    <w:rsid w:val="00E63CC2"/>
    <w:rsid w:val="00E80C91"/>
    <w:rsid w:val="00E91439"/>
    <w:rsid w:val="00E9792F"/>
    <w:rsid w:val="00EA1B29"/>
    <w:rsid w:val="00EC1C54"/>
    <w:rsid w:val="00F060AD"/>
    <w:rsid w:val="00F553AD"/>
    <w:rsid w:val="00F749BC"/>
    <w:rsid w:val="00FD2BEA"/>
    <w:rsid w:val="00FF005A"/>
    <w:rsid w:val="031A4532"/>
    <w:rsid w:val="03C41D0D"/>
    <w:rsid w:val="074866CA"/>
    <w:rsid w:val="0A2D459A"/>
    <w:rsid w:val="0A4B3D78"/>
    <w:rsid w:val="0B972908"/>
    <w:rsid w:val="132B6FA3"/>
    <w:rsid w:val="15EA49B9"/>
    <w:rsid w:val="164175B5"/>
    <w:rsid w:val="1861283B"/>
    <w:rsid w:val="1A133B64"/>
    <w:rsid w:val="1C3D253C"/>
    <w:rsid w:val="1CC21481"/>
    <w:rsid w:val="1D4862CB"/>
    <w:rsid w:val="1D751DD0"/>
    <w:rsid w:val="1DB77FBA"/>
    <w:rsid w:val="1E745D37"/>
    <w:rsid w:val="217E3C0F"/>
    <w:rsid w:val="22A623A4"/>
    <w:rsid w:val="22E7124A"/>
    <w:rsid w:val="24024C4F"/>
    <w:rsid w:val="253D39BB"/>
    <w:rsid w:val="25964F8E"/>
    <w:rsid w:val="261455E0"/>
    <w:rsid w:val="29C2439B"/>
    <w:rsid w:val="29F13E58"/>
    <w:rsid w:val="2AD1368B"/>
    <w:rsid w:val="2AFA5E6D"/>
    <w:rsid w:val="2C2D2218"/>
    <w:rsid w:val="2CA249FB"/>
    <w:rsid w:val="2E9B6C8E"/>
    <w:rsid w:val="2EB7423D"/>
    <w:rsid w:val="2F1A7140"/>
    <w:rsid w:val="32C049AD"/>
    <w:rsid w:val="33292510"/>
    <w:rsid w:val="369F210D"/>
    <w:rsid w:val="36C95F72"/>
    <w:rsid w:val="36E30A3F"/>
    <w:rsid w:val="3A5F1D80"/>
    <w:rsid w:val="3C0A2DE9"/>
    <w:rsid w:val="3D0A15FC"/>
    <w:rsid w:val="3D1D66A9"/>
    <w:rsid w:val="3D3B5244"/>
    <w:rsid w:val="3D5E73A0"/>
    <w:rsid w:val="3DA311CF"/>
    <w:rsid w:val="3F0472B2"/>
    <w:rsid w:val="3FEF3DB4"/>
    <w:rsid w:val="3FFE3BE6"/>
    <w:rsid w:val="40195E38"/>
    <w:rsid w:val="44441FC8"/>
    <w:rsid w:val="447C2400"/>
    <w:rsid w:val="44821D8A"/>
    <w:rsid w:val="465A0FC3"/>
    <w:rsid w:val="4A163E7E"/>
    <w:rsid w:val="4B874481"/>
    <w:rsid w:val="4B9B1E01"/>
    <w:rsid w:val="4C012134"/>
    <w:rsid w:val="4C6A499E"/>
    <w:rsid w:val="4C906058"/>
    <w:rsid w:val="4D550003"/>
    <w:rsid w:val="505E1120"/>
    <w:rsid w:val="50A27281"/>
    <w:rsid w:val="50E56AA8"/>
    <w:rsid w:val="510E6009"/>
    <w:rsid w:val="51FF09A1"/>
    <w:rsid w:val="52DF675E"/>
    <w:rsid w:val="542B59A1"/>
    <w:rsid w:val="56C5722B"/>
    <w:rsid w:val="57D03318"/>
    <w:rsid w:val="586A6082"/>
    <w:rsid w:val="58EA71E7"/>
    <w:rsid w:val="5A3B341E"/>
    <w:rsid w:val="5A7C5A42"/>
    <w:rsid w:val="5CEA7946"/>
    <w:rsid w:val="5EE64972"/>
    <w:rsid w:val="5FC865C4"/>
    <w:rsid w:val="60057E4E"/>
    <w:rsid w:val="60CA1932"/>
    <w:rsid w:val="619A28FC"/>
    <w:rsid w:val="61E939EF"/>
    <w:rsid w:val="62315E08"/>
    <w:rsid w:val="633E43A1"/>
    <w:rsid w:val="65DA3565"/>
    <w:rsid w:val="667129B4"/>
    <w:rsid w:val="67352783"/>
    <w:rsid w:val="68B2242F"/>
    <w:rsid w:val="69806624"/>
    <w:rsid w:val="6A267F12"/>
    <w:rsid w:val="6AA96E5B"/>
    <w:rsid w:val="6B6370D1"/>
    <w:rsid w:val="6CD539B4"/>
    <w:rsid w:val="6CDA1EF6"/>
    <w:rsid w:val="70C2568B"/>
    <w:rsid w:val="70FE623D"/>
    <w:rsid w:val="71086D06"/>
    <w:rsid w:val="715A2881"/>
    <w:rsid w:val="72A644C8"/>
    <w:rsid w:val="72A85F5F"/>
    <w:rsid w:val="73FA37CC"/>
    <w:rsid w:val="744A3821"/>
    <w:rsid w:val="74D912F5"/>
    <w:rsid w:val="757271F2"/>
    <w:rsid w:val="766935AB"/>
    <w:rsid w:val="771522CE"/>
    <w:rsid w:val="77225552"/>
    <w:rsid w:val="77472A21"/>
    <w:rsid w:val="78D35026"/>
    <w:rsid w:val="792906B2"/>
    <w:rsid w:val="79F86F37"/>
    <w:rsid w:val="7ADC28F3"/>
    <w:rsid w:val="7C1C31EE"/>
    <w:rsid w:val="7D522A56"/>
    <w:rsid w:val="7D553F27"/>
    <w:rsid w:val="7D9462BA"/>
    <w:rsid w:val="7DC10BF0"/>
    <w:rsid w:val="7E1A1231"/>
    <w:rsid w:val="7F580B3B"/>
    <w:rsid w:val="7FA57090"/>
    <w:rsid w:val="7FCE715C"/>
    <w:rsid w:val="7FCE75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6">
    <w:name w:val="annotation subject"/>
    <w:basedOn w:val="2"/>
    <w:next w:val="2"/>
    <w:link w:val="12"/>
    <w:qFormat/>
    <w:uiPriority w:val="0"/>
    <w:rPr>
      <w:b/>
      <w:bCs/>
    </w:rPr>
  </w:style>
  <w:style w:type="character" w:styleId="9">
    <w:name w:val="annotation reference"/>
    <w:qFormat/>
    <w:uiPriority w:val="0"/>
    <w:rPr>
      <w:sz w:val="21"/>
      <w:szCs w:val="21"/>
    </w:rPr>
  </w:style>
  <w:style w:type="character" w:customStyle="1" w:styleId="10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1">
    <w:name w:val="批注框文本 字符"/>
    <w:link w:val="3"/>
    <w:qFormat/>
    <w:uiPriority w:val="0"/>
    <w:rPr>
      <w:kern w:val="2"/>
      <w:sz w:val="18"/>
      <w:szCs w:val="18"/>
    </w:rPr>
  </w:style>
  <w:style w:type="character" w:customStyle="1" w:styleId="12">
    <w:name w:val="批注主题 字符"/>
    <w:link w:val="6"/>
    <w:qFormat/>
    <w:uiPriority w:val="0"/>
    <w:rPr>
      <w:b/>
      <w:bCs/>
      <w:kern w:val="2"/>
      <w:sz w:val="21"/>
      <w:szCs w:val="24"/>
    </w:rPr>
  </w:style>
  <w:style w:type="paragraph" w:customStyle="1" w:styleId="13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4">
    <w:name w:val="_Style 13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1705</Words>
  <Characters>1767</Characters>
  <Lines>12</Lines>
  <Paragraphs>3</Paragraphs>
  <TotalTime>2</TotalTime>
  <ScaleCrop>false</ScaleCrop>
  <LinksUpToDate>false</LinksUpToDate>
  <CharactersWithSpaces>1831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2022-05-06T14:49:00Z</dcterms:created>
  <dc:creator>dell</dc:creator>
  <cp:lastModifiedBy>付慧娟</cp:lastModifiedBy>
  <cp:lastPrinted>2018-05-08T17:04:00Z</cp:lastPrinted>
  <dcterms:modified xsi:type="dcterms:W3CDTF">2025-04-28T09:16:46Z</dcterms:modified>
  <dc:title>中南财经政法大学研究生会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818A5C4636054D918B1DA34DE5975932_13</vt:lpwstr>
  </property>
  <property fmtid="{D5CDD505-2E9C-101B-9397-08002B2CF9AE}" pid="4" name="KSOTemplateDocerSaveRecord">
    <vt:lpwstr>eyJoZGlkIjoiNmUwOWU0NjllYWFjOTNmOGQzZjZlZWYwZWEzNWVmZjMifQ==</vt:lpwstr>
  </property>
</Properties>
</file>