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仿宋" w:eastAsia="黑体"/>
          <w:b/>
          <w:bCs/>
          <w:color w:val="000000"/>
          <w:sz w:val="32"/>
          <w:szCs w:val="32"/>
        </w:rPr>
      </w:pPr>
      <w:r>
        <w:rPr>
          <w:rFonts w:hint="eastAsia" w:ascii="黑体" w:hAnsi="仿宋" w:eastAsia="黑体"/>
          <w:b/>
          <w:bCs/>
          <w:color w:val="000000"/>
          <w:sz w:val="32"/>
          <w:szCs w:val="32"/>
        </w:rPr>
        <w:t>附件</w:t>
      </w:r>
      <w:r>
        <w:rPr>
          <w:rFonts w:hint="eastAsia" w:ascii="黑体" w:hAnsi="仿宋" w:eastAsia="黑体"/>
          <w:b/>
          <w:bCs/>
          <w:color w:val="000000"/>
          <w:sz w:val="32"/>
          <w:szCs w:val="32"/>
          <w:lang w:val="en-US" w:eastAsia="zh-CN"/>
        </w:rPr>
        <w:t>三</w:t>
      </w:r>
      <w:r>
        <w:rPr>
          <w:rFonts w:hint="eastAsia" w:ascii="黑体" w:hAnsi="仿宋" w:eastAsia="黑体"/>
          <w:b/>
          <w:bCs/>
          <w:color w:val="000000"/>
          <w:sz w:val="32"/>
          <w:szCs w:val="32"/>
        </w:rPr>
        <w:t>:</w:t>
      </w:r>
    </w:p>
    <w:p>
      <w:pPr>
        <w:jc w:val="center"/>
        <w:rPr>
          <w:rFonts w:hint="eastAsia" w:ascii="宋体" w:hAnsi="宋体"/>
          <w:b/>
          <w:bCs/>
          <w:sz w:val="44"/>
          <w:szCs w:val="44"/>
        </w:rPr>
      </w:pPr>
      <w:bookmarkStart w:id="1" w:name="_GoBack"/>
      <w:r>
        <w:rPr>
          <w:rFonts w:hint="eastAsia" w:ascii="宋体" w:hAnsi="宋体"/>
          <w:b/>
          <w:bCs/>
          <w:sz w:val="44"/>
          <w:szCs w:val="44"/>
        </w:rPr>
        <w:t>中南财经政法大学</w:t>
      </w:r>
      <w:r>
        <w:rPr>
          <w:rFonts w:hint="eastAsia" w:ascii="宋体" w:hAnsi="宋体"/>
          <w:b/>
          <w:bCs/>
          <w:sz w:val="44"/>
          <w:szCs w:val="44"/>
          <w:lang w:val="en-US" w:eastAsia="zh-CN"/>
        </w:rPr>
        <w:t>研究生会</w:t>
      </w:r>
      <w:r>
        <w:rPr>
          <w:rFonts w:hint="eastAsia" w:ascii="宋体" w:hAnsi="宋体"/>
          <w:b/>
          <w:bCs/>
          <w:sz w:val="44"/>
          <w:szCs w:val="44"/>
        </w:rPr>
        <w:t>“政治引领单项奖”评分细则及申报表</w:t>
      </w:r>
    </w:p>
    <w:bookmarkEnd w:id="1"/>
    <w:p>
      <w:pPr>
        <w:pStyle w:val="4"/>
        <w:numPr>
          <w:ilvl w:val="0"/>
          <w:numId w:val="0"/>
        </w:numPr>
        <w:adjustRightInd w:val="0"/>
        <w:ind w:firstLine="643" w:firstLineChars="200"/>
        <w:rPr>
          <w:rFonts w:hint="eastAsia" w:ascii="仿宋" w:hAnsi="仿宋" w:eastAsia="仿宋" w:cs="仿宋_GB2312"/>
          <w:b/>
          <w:bCs w:val="0"/>
          <w:sz w:val="32"/>
          <w:szCs w:val="32"/>
          <w:lang w:val="en-US" w:eastAsia="zh-CN"/>
        </w:rPr>
      </w:pPr>
      <w:r>
        <w:rPr>
          <w:rFonts w:hint="eastAsia" w:ascii="仿宋" w:hAnsi="仿宋" w:eastAsia="仿宋" w:cs="仿宋_GB2312"/>
          <w:b/>
          <w:bCs w:val="0"/>
          <w:sz w:val="32"/>
          <w:szCs w:val="32"/>
          <w:lang w:val="en-US" w:eastAsia="zh-CN"/>
        </w:rPr>
        <w:t>一、明确职能定位（12分）</w:t>
      </w:r>
    </w:p>
    <w:p>
      <w:pPr>
        <w:pStyle w:val="4"/>
        <w:numPr>
          <w:ilvl w:val="0"/>
          <w:numId w:val="0"/>
        </w:numPr>
        <w:adjustRightInd w:val="0"/>
        <w:ind w:firstLine="640" w:firstLineChars="200"/>
        <w:rPr>
          <w:rFonts w:hint="eastAsia" w:ascii="仿宋" w:hAnsi="仿宋" w:eastAsia="仿宋" w:cs="仿宋_GB2312"/>
          <w:b w:val="0"/>
          <w:bCs/>
          <w:sz w:val="32"/>
          <w:szCs w:val="32"/>
          <w:lang w:val="en-US" w:eastAsia="zh-CN"/>
        </w:rPr>
      </w:pPr>
      <w:r>
        <w:rPr>
          <w:rFonts w:hint="eastAsia" w:ascii="仿宋" w:hAnsi="仿宋" w:eastAsia="仿宋" w:cs="仿宋_GB2312"/>
          <w:b w:val="0"/>
          <w:bCs/>
          <w:sz w:val="32"/>
          <w:szCs w:val="32"/>
          <w:lang w:val="en-US" w:eastAsia="zh-CN"/>
        </w:rPr>
        <w:t>作为党领导下的重要学生组织，学院（中心）研究生会以习近平新时代中国特色社会主义思想为指导，以加强对同学的政治引领为根本，以全心全意服务同学为宗旨，及时向同学传递党的声音和主张，在各项工作中承担好学校联系广大同学的桥梁和纽带的作用。引导广大同学自觉把个人理想融入到党和人民的共同奋斗之中。（6分）</w:t>
      </w:r>
    </w:p>
    <w:p>
      <w:pPr>
        <w:pStyle w:val="4"/>
        <w:numPr>
          <w:ilvl w:val="0"/>
          <w:numId w:val="0"/>
        </w:numPr>
        <w:adjustRightInd w:val="0"/>
        <w:ind w:firstLine="640" w:firstLineChars="200"/>
        <w:rPr>
          <w:rFonts w:hint="eastAsia" w:ascii="仿宋" w:hAnsi="仿宋" w:eastAsia="仿宋" w:cs="仿宋_GB2312"/>
          <w:b w:val="0"/>
          <w:bCs/>
          <w:sz w:val="32"/>
          <w:szCs w:val="32"/>
          <w:lang w:val="en-US" w:eastAsia="zh-CN"/>
        </w:rPr>
      </w:pPr>
      <w:r>
        <w:rPr>
          <w:rFonts w:hint="eastAsia" w:ascii="仿宋" w:hAnsi="仿宋" w:eastAsia="仿宋" w:cs="仿宋_GB2312"/>
          <w:b w:val="0"/>
          <w:bCs/>
          <w:sz w:val="32"/>
          <w:szCs w:val="32"/>
          <w:lang w:val="en-US" w:eastAsia="zh-CN"/>
        </w:rPr>
        <w:t>学院（中心）研究生会所在培养单位党委持续关心、关注研究生会工作，给予及时必要的指导，主要分管领导定期听取学院（中心）研究生会工作情况汇报，每学期不少于1次。学院党委主要负责同志通过专题党课、集体谈话、座谈会等形式加强对学院（中心）研究生会工作人员的思想政治教育。（6分）</w:t>
      </w:r>
    </w:p>
    <w:p>
      <w:pPr>
        <w:pStyle w:val="4"/>
        <w:numPr>
          <w:ilvl w:val="0"/>
          <w:numId w:val="0"/>
        </w:numPr>
        <w:adjustRightInd w:val="0"/>
        <w:ind w:firstLine="643" w:firstLineChars="200"/>
        <w:rPr>
          <w:rFonts w:hint="eastAsia" w:ascii="仿宋" w:hAnsi="仿宋" w:eastAsia="仿宋" w:cs="仿宋_GB2312"/>
          <w:b/>
          <w:sz w:val="32"/>
          <w:szCs w:val="32"/>
        </w:rPr>
      </w:pPr>
      <w:r>
        <w:rPr>
          <w:rFonts w:hint="eastAsia" w:ascii="仿宋" w:hAnsi="仿宋" w:eastAsia="仿宋" w:cs="仿宋_GB2312"/>
          <w:b/>
          <w:bCs w:val="0"/>
          <w:sz w:val="32"/>
          <w:szCs w:val="32"/>
          <w:lang w:val="en-US" w:eastAsia="zh-CN"/>
        </w:rPr>
        <w:t>二、把牢政治方向</w:t>
      </w:r>
      <w:r>
        <w:rPr>
          <w:rFonts w:hint="eastAsia" w:ascii="仿宋" w:hAnsi="仿宋" w:eastAsia="仿宋" w:cs="仿宋_GB2312"/>
          <w:b/>
          <w:bCs w:val="0"/>
          <w:sz w:val="32"/>
          <w:szCs w:val="32"/>
          <w:lang w:eastAsia="zh-CN"/>
        </w:rPr>
        <w:t>（</w:t>
      </w:r>
      <w:r>
        <w:rPr>
          <w:rFonts w:hint="eastAsia" w:ascii="仿宋" w:hAnsi="仿宋" w:eastAsia="仿宋" w:cs="仿宋_GB2312"/>
          <w:b/>
          <w:bCs w:val="0"/>
          <w:sz w:val="32"/>
          <w:szCs w:val="32"/>
          <w:lang w:val="en-US" w:eastAsia="zh-CN"/>
        </w:rPr>
        <w:t>48分</w:t>
      </w:r>
      <w:r>
        <w:rPr>
          <w:rFonts w:hint="eastAsia" w:ascii="仿宋" w:hAnsi="仿宋" w:eastAsia="仿宋" w:cs="仿宋_GB2312"/>
          <w:b/>
          <w:bCs w:val="0"/>
          <w:sz w:val="32"/>
          <w:szCs w:val="32"/>
          <w:lang w:eastAsia="zh-CN"/>
        </w:rPr>
        <w:t>）</w:t>
      </w:r>
    </w:p>
    <w:p>
      <w:pPr>
        <w:pStyle w:val="4"/>
        <w:numPr>
          <w:ilvl w:val="0"/>
          <w:numId w:val="0"/>
        </w:numPr>
        <w:adjustRightInd w:val="0"/>
        <w:ind w:firstLine="643" w:firstLineChars="200"/>
        <w:rPr>
          <w:rFonts w:hint="eastAsia" w:ascii="仿宋" w:hAnsi="仿宋" w:eastAsia="仿宋" w:cs="仿宋_GB2312"/>
          <w:b/>
          <w:bCs w:val="0"/>
          <w:sz w:val="32"/>
          <w:szCs w:val="32"/>
          <w:lang w:eastAsia="zh-CN"/>
        </w:rPr>
      </w:pPr>
      <w:r>
        <w:rPr>
          <w:rFonts w:hint="eastAsia" w:ascii="仿宋" w:hAnsi="仿宋" w:eastAsia="仿宋" w:cs="仿宋_GB2312"/>
          <w:b/>
          <w:bCs w:val="0"/>
          <w:sz w:val="32"/>
          <w:szCs w:val="32"/>
          <w:lang w:eastAsia="zh-CN"/>
        </w:rPr>
        <w:t>（</w:t>
      </w:r>
      <w:r>
        <w:rPr>
          <w:rFonts w:hint="eastAsia" w:ascii="仿宋" w:hAnsi="仿宋" w:eastAsia="仿宋" w:cs="仿宋_GB2312"/>
          <w:b/>
          <w:bCs w:val="0"/>
          <w:sz w:val="32"/>
          <w:szCs w:val="32"/>
          <w:lang w:val="en-US" w:eastAsia="zh-CN"/>
        </w:rPr>
        <w:t>一</w:t>
      </w:r>
      <w:r>
        <w:rPr>
          <w:rFonts w:hint="eastAsia" w:ascii="仿宋" w:hAnsi="仿宋" w:eastAsia="仿宋" w:cs="仿宋_GB2312"/>
          <w:b/>
          <w:bCs w:val="0"/>
          <w:sz w:val="32"/>
          <w:szCs w:val="32"/>
          <w:lang w:eastAsia="zh-CN"/>
        </w:rPr>
        <w:t>）</w:t>
      </w:r>
      <w:r>
        <w:rPr>
          <w:rFonts w:hint="eastAsia" w:ascii="仿宋" w:hAnsi="仿宋" w:eastAsia="仿宋" w:cs="仿宋_GB2312"/>
          <w:b/>
          <w:bCs w:val="0"/>
          <w:sz w:val="32"/>
          <w:szCs w:val="32"/>
        </w:rPr>
        <w:t>思想建设（</w:t>
      </w:r>
      <w:r>
        <w:rPr>
          <w:rFonts w:hint="eastAsia" w:ascii="仿宋" w:hAnsi="仿宋" w:eastAsia="仿宋" w:cs="仿宋_GB2312"/>
          <w:b/>
          <w:bCs w:val="0"/>
          <w:sz w:val="32"/>
          <w:szCs w:val="32"/>
          <w:lang w:val="en-US" w:eastAsia="zh-CN"/>
        </w:rPr>
        <w:t>12</w:t>
      </w:r>
      <w:r>
        <w:rPr>
          <w:rFonts w:hint="eastAsia" w:ascii="仿宋" w:hAnsi="仿宋" w:eastAsia="仿宋" w:cs="仿宋_GB2312"/>
          <w:b/>
          <w:bCs w:val="0"/>
          <w:sz w:val="32"/>
          <w:szCs w:val="32"/>
        </w:rPr>
        <w:t>分）</w:t>
      </w:r>
    </w:p>
    <w:p>
      <w:pPr>
        <w:pStyle w:val="4"/>
        <w:numPr>
          <w:ilvl w:val="0"/>
          <w:numId w:val="0"/>
        </w:numPr>
        <w:adjustRightInd w:val="0"/>
        <w:ind w:firstLine="640" w:firstLineChars="200"/>
        <w:rPr>
          <w:rFonts w:hint="eastAsia" w:ascii="仿宋" w:hAnsi="仿宋" w:eastAsia="仿宋" w:cs="仿宋_GB2312"/>
          <w:b w:val="0"/>
          <w:bCs/>
          <w:sz w:val="32"/>
          <w:szCs w:val="32"/>
          <w:lang w:eastAsia="zh-CN"/>
        </w:rPr>
      </w:pPr>
      <w:r>
        <w:rPr>
          <w:rFonts w:hint="eastAsia" w:ascii="仿宋" w:hAnsi="仿宋" w:eastAsia="仿宋" w:cs="仿宋_GB2312"/>
          <w:b w:val="0"/>
          <w:bCs/>
          <w:sz w:val="32"/>
          <w:szCs w:val="32"/>
          <w:lang w:eastAsia="zh-CN"/>
        </w:rPr>
        <w:t>在组织建设和活动举办中</w:t>
      </w:r>
      <w:r>
        <w:rPr>
          <w:rFonts w:hint="eastAsia" w:ascii="仿宋" w:hAnsi="仿宋" w:eastAsia="仿宋" w:cs="仿宋_GB2312"/>
          <w:b w:val="0"/>
          <w:bCs/>
          <w:sz w:val="32"/>
          <w:szCs w:val="32"/>
          <w:lang w:val="en-US" w:eastAsia="zh-CN"/>
        </w:rPr>
        <w:t>强化思政育人功能，结合时事政治，引导广大研究生深入学习贯彻</w:t>
      </w:r>
      <w:r>
        <w:rPr>
          <w:rFonts w:hint="eastAsia" w:ascii="仿宋" w:hAnsi="仿宋" w:eastAsia="仿宋" w:cs="仿宋_GB2312"/>
          <w:b w:val="0"/>
          <w:bCs/>
          <w:sz w:val="32"/>
          <w:szCs w:val="32"/>
          <w:lang w:eastAsia="zh-CN"/>
        </w:rPr>
        <w:t>习近平</w:t>
      </w:r>
      <w:r>
        <w:rPr>
          <w:rFonts w:hint="eastAsia" w:ascii="仿宋" w:hAnsi="仿宋" w:eastAsia="仿宋" w:cs="仿宋_GB2312"/>
          <w:b w:val="0"/>
          <w:bCs/>
          <w:sz w:val="32"/>
          <w:szCs w:val="32"/>
          <w:lang w:val="en-US" w:eastAsia="zh-CN"/>
        </w:rPr>
        <w:t>总书记关于青年工作的重要思想和关于教育的重要论述</w:t>
      </w:r>
      <w:r>
        <w:rPr>
          <w:rFonts w:hint="eastAsia" w:ascii="仿宋" w:hAnsi="仿宋" w:eastAsia="仿宋" w:cs="仿宋_GB2312"/>
          <w:b w:val="0"/>
          <w:bCs/>
          <w:sz w:val="32"/>
          <w:szCs w:val="32"/>
          <w:lang w:eastAsia="zh-CN"/>
        </w:rPr>
        <w:t>，</w:t>
      </w:r>
      <w:r>
        <w:rPr>
          <w:rFonts w:hint="eastAsia" w:ascii="仿宋" w:hAnsi="仿宋" w:eastAsia="仿宋" w:cs="仿宋_GB2312"/>
          <w:b w:val="0"/>
          <w:bCs/>
          <w:sz w:val="32"/>
          <w:szCs w:val="32"/>
          <w:lang w:val="en-US" w:eastAsia="zh-CN"/>
        </w:rPr>
        <w:t>7</w:t>
      </w:r>
      <w:r>
        <w:rPr>
          <w:rFonts w:hint="eastAsia" w:ascii="仿宋" w:hAnsi="仿宋" w:eastAsia="仿宋" w:cs="仿宋_GB2312"/>
          <w:b w:val="0"/>
          <w:bCs/>
          <w:sz w:val="32"/>
          <w:szCs w:val="32"/>
          <w:lang w:eastAsia="zh-CN"/>
        </w:rPr>
        <w:t>分。</w:t>
      </w:r>
    </w:p>
    <w:p>
      <w:pPr>
        <w:pStyle w:val="4"/>
        <w:numPr>
          <w:ilvl w:val="0"/>
          <w:numId w:val="0"/>
        </w:numPr>
        <w:adjustRightInd w:val="0"/>
        <w:ind w:firstLine="640" w:firstLineChars="200"/>
        <w:rPr>
          <w:rFonts w:hint="eastAsia" w:ascii="仿宋" w:hAnsi="仿宋" w:eastAsia="仿宋" w:cs="仿宋_GB2312"/>
          <w:b w:val="0"/>
          <w:bCs/>
          <w:sz w:val="32"/>
          <w:szCs w:val="32"/>
          <w:lang w:val="en-US" w:eastAsia="zh-CN"/>
        </w:rPr>
      </w:pPr>
      <w:r>
        <w:rPr>
          <w:rFonts w:hint="eastAsia" w:ascii="仿宋" w:hAnsi="仿宋" w:eastAsia="仿宋" w:cs="仿宋_GB2312"/>
          <w:b w:val="0"/>
          <w:bCs/>
          <w:sz w:val="32"/>
          <w:szCs w:val="32"/>
          <w:lang w:eastAsia="zh-CN"/>
        </w:rPr>
        <w:t>在组织建设和活动举办中</w:t>
      </w:r>
      <w:r>
        <w:rPr>
          <w:rFonts w:hint="eastAsia" w:ascii="仿宋" w:hAnsi="仿宋" w:eastAsia="仿宋" w:cs="仿宋_GB2312"/>
          <w:b w:val="0"/>
          <w:bCs/>
          <w:sz w:val="32"/>
          <w:szCs w:val="32"/>
          <w:lang w:val="en-US" w:eastAsia="zh-CN"/>
        </w:rPr>
        <w:t>融入</w:t>
      </w:r>
      <w:r>
        <w:rPr>
          <w:rFonts w:hint="eastAsia" w:ascii="仿宋" w:hAnsi="仿宋" w:eastAsia="仿宋" w:cs="仿宋_GB2312"/>
          <w:b w:val="0"/>
          <w:bCs/>
          <w:sz w:val="32"/>
          <w:szCs w:val="32"/>
          <w:lang w:eastAsia="zh-CN"/>
        </w:rPr>
        <w:t>党史、新中国史、改革开放史、社会主义发展史、中华民族发展史，扎实推进学史明理，学史增信，学史崇德，学史力行，弘扬伟大建党精神，</w:t>
      </w:r>
      <w:r>
        <w:rPr>
          <w:rFonts w:hint="eastAsia" w:ascii="仿宋" w:hAnsi="仿宋" w:eastAsia="仿宋" w:cs="仿宋_GB2312"/>
          <w:b w:val="0"/>
          <w:bCs/>
          <w:sz w:val="32"/>
          <w:szCs w:val="32"/>
          <w:lang w:val="en-US" w:eastAsia="zh-CN"/>
        </w:rPr>
        <w:t>彰显中国共产党人精神谱系的深厚感召力，5分。</w:t>
      </w:r>
    </w:p>
    <w:p>
      <w:pPr>
        <w:pStyle w:val="4"/>
        <w:numPr>
          <w:ilvl w:val="0"/>
          <w:numId w:val="0"/>
        </w:numPr>
        <w:adjustRightInd w:val="0"/>
        <w:ind w:firstLine="643" w:firstLineChars="200"/>
        <w:rPr>
          <w:rFonts w:hint="eastAsia" w:ascii="仿宋" w:hAnsi="仿宋" w:eastAsia="仿宋" w:cs="仿宋_GB2312"/>
          <w:b/>
          <w:sz w:val="32"/>
          <w:szCs w:val="32"/>
          <w:lang w:val="en-US" w:eastAsia="zh-CN"/>
        </w:rPr>
      </w:pPr>
      <w:r>
        <w:rPr>
          <w:rFonts w:hint="eastAsia" w:ascii="仿宋" w:hAnsi="仿宋" w:eastAsia="仿宋" w:cs="仿宋_GB2312"/>
          <w:b/>
          <w:sz w:val="32"/>
          <w:szCs w:val="32"/>
          <w:lang w:val="en-US" w:eastAsia="zh-CN"/>
        </w:rPr>
        <w:t>（二）组织建设（12分）</w:t>
      </w:r>
    </w:p>
    <w:p>
      <w:pPr>
        <w:pStyle w:val="4"/>
        <w:numPr>
          <w:ilvl w:val="0"/>
          <w:numId w:val="0"/>
        </w:numPr>
        <w:adjustRightInd w:val="0"/>
        <w:ind w:firstLine="640" w:firstLineChars="200"/>
        <w:rPr>
          <w:rFonts w:hint="eastAsia" w:ascii="仿宋" w:hAnsi="仿宋" w:eastAsia="仿宋" w:cs="仿宋_GB2312"/>
          <w:b w:val="0"/>
          <w:bCs/>
          <w:sz w:val="32"/>
          <w:szCs w:val="32"/>
          <w:lang w:val="en-US" w:eastAsia="zh-CN"/>
        </w:rPr>
      </w:pPr>
      <w:r>
        <w:rPr>
          <w:rFonts w:hint="eastAsia" w:ascii="仿宋" w:hAnsi="仿宋" w:eastAsia="仿宋" w:cs="仿宋_GB2312"/>
          <w:b w:val="0"/>
          <w:bCs/>
          <w:sz w:val="32"/>
          <w:szCs w:val="32"/>
          <w:lang w:val="en-US" w:eastAsia="zh-CN"/>
        </w:rPr>
        <w:t>开展丰富多样的研究生骨干培训，提高学院（中心）研究生会工作人员的政治站位和理论水平，加强对研究生干部的教育培训，提升队伍综合素质，7分。</w:t>
      </w:r>
    </w:p>
    <w:p>
      <w:pPr>
        <w:pStyle w:val="4"/>
        <w:numPr>
          <w:ilvl w:val="0"/>
          <w:numId w:val="0"/>
        </w:numPr>
        <w:adjustRightInd w:val="0"/>
        <w:ind w:firstLine="640" w:firstLineChars="200"/>
        <w:rPr>
          <w:rFonts w:hint="default" w:ascii="仿宋" w:hAnsi="仿宋" w:eastAsia="仿宋" w:cs="仿宋_GB2312"/>
          <w:b w:val="0"/>
          <w:bCs/>
          <w:sz w:val="32"/>
          <w:szCs w:val="32"/>
          <w:lang w:val="en-US" w:eastAsia="zh-CN"/>
        </w:rPr>
      </w:pPr>
      <w:r>
        <w:rPr>
          <w:rFonts w:hint="default" w:ascii="仿宋" w:hAnsi="仿宋" w:eastAsia="仿宋" w:cs="仿宋_GB2312"/>
          <w:b w:val="0"/>
          <w:bCs/>
          <w:sz w:val="32"/>
          <w:szCs w:val="32"/>
          <w:lang w:val="en-US" w:eastAsia="zh-CN"/>
        </w:rPr>
        <w:t>学院（中心）研究生会</w:t>
      </w:r>
      <w:r>
        <w:rPr>
          <w:rFonts w:hint="eastAsia" w:ascii="仿宋" w:hAnsi="仿宋" w:eastAsia="仿宋" w:cs="仿宋_GB2312"/>
          <w:b w:val="0"/>
          <w:bCs/>
          <w:sz w:val="32"/>
          <w:szCs w:val="32"/>
          <w:lang w:val="en-US" w:eastAsia="zh-CN"/>
        </w:rPr>
        <w:t>主要工作人员</w:t>
      </w:r>
      <w:r>
        <w:rPr>
          <w:rFonts w:hint="default" w:ascii="仿宋" w:hAnsi="仿宋" w:eastAsia="仿宋" w:cs="仿宋_GB2312"/>
          <w:b w:val="0"/>
          <w:bCs/>
          <w:sz w:val="32"/>
          <w:szCs w:val="32"/>
          <w:lang w:val="en-US" w:eastAsia="zh-CN"/>
        </w:rPr>
        <w:t>受到</w:t>
      </w:r>
      <w:r>
        <w:rPr>
          <w:rFonts w:hint="eastAsia" w:ascii="仿宋" w:hAnsi="仿宋" w:eastAsia="仿宋" w:cs="仿宋_GB2312"/>
          <w:b w:val="0"/>
          <w:bCs/>
          <w:sz w:val="32"/>
          <w:szCs w:val="32"/>
          <w:lang w:val="en-US" w:eastAsia="zh-CN"/>
        </w:rPr>
        <w:t>思政类</w:t>
      </w:r>
      <w:r>
        <w:rPr>
          <w:rFonts w:hint="default" w:ascii="仿宋" w:hAnsi="仿宋" w:eastAsia="仿宋" w:cs="仿宋_GB2312"/>
          <w:b w:val="0"/>
          <w:bCs/>
          <w:sz w:val="32"/>
          <w:szCs w:val="32"/>
          <w:lang w:val="en-US" w:eastAsia="zh-CN"/>
        </w:rPr>
        <w:t>表彰</w:t>
      </w:r>
      <w:r>
        <w:rPr>
          <w:rFonts w:hint="eastAsia" w:ascii="仿宋" w:hAnsi="仿宋" w:eastAsia="仿宋" w:cs="仿宋_GB2312"/>
          <w:b w:val="0"/>
          <w:bCs/>
          <w:sz w:val="32"/>
          <w:szCs w:val="32"/>
          <w:lang w:val="en-US" w:eastAsia="zh-CN"/>
        </w:rPr>
        <w:t>的，</w:t>
      </w:r>
      <w:r>
        <w:rPr>
          <w:rFonts w:hint="default" w:ascii="仿宋" w:hAnsi="仿宋" w:eastAsia="仿宋" w:cs="仿宋_GB2312"/>
          <w:b w:val="0"/>
          <w:bCs/>
          <w:sz w:val="32"/>
          <w:szCs w:val="32"/>
          <w:lang w:val="en-US" w:eastAsia="zh-CN"/>
        </w:rPr>
        <w:t>国家级加5分，省级加3分，市级加2分，校级加1分。该项累计最多加5分。</w:t>
      </w:r>
    </w:p>
    <w:p>
      <w:pPr>
        <w:pStyle w:val="4"/>
        <w:numPr>
          <w:ilvl w:val="0"/>
          <w:numId w:val="0"/>
        </w:numPr>
        <w:adjustRightInd w:val="0"/>
        <w:ind w:firstLine="643" w:firstLineChars="200"/>
        <w:rPr>
          <w:rFonts w:hint="default" w:ascii="仿宋" w:hAnsi="仿宋" w:eastAsia="仿宋" w:cs="仿宋_GB2312"/>
          <w:b/>
          <w:sz w:val="32"/>
          <w:szCs w:val="32"/>
          <w:lang w:val="en-US" w:eastAsia="zh-CN"/>
        </w:rPr>
      </w:pPr>
      <w:r>
        <w:rPr>
          <w:rFonts w:hint="eastAsia" w:ascii="仿宋" w:hAnsi="仿宋" w:eastAsia="仿宋" w:cs="仿宋_GB2312"/>
          <w:b/>
          <w:sz w:val="32"/>
          <w:szCs w:val="32"/>
          <w:lang w:val="en-US" w:eastAsia="zh-CN"/>
        </w:rPr>
        <w:t>（三）制度建设（10分）</w:t>
      </w:r>
    </w:p>
    <w:p>
      <w:pPr>
        <w:pStyle w:val="4"/>
        <w:numPr>
          <w:ilvl w:val="0"/>
          <w:numId w:val="0"/>
        </w:numPr>
        <w:adjustRightInd w:val="0"/>
        <w:ind w:firstLine="640" w:firstLineChars="200"/>
        <w:rPr>
          <w:rFonts w:hint="default" w:ascii="仿宋" w:hAnsi="仿宋" w:eastAsia="仿宋" w:cs="仿宋_GB2312"/>
          <w:b w:val="0"/>
          <w:bCs/>
          <w:sz w:val="32"/>
          <w:szCs w:val="32"/>
          <w:lang w:val="en-US" w:eastAsia="zh-CN"/>
        </w:rPr>
      </w:pPr>
      <w:r>
        <w:rPr>
          <w:rFonts w:hint="eastAsia" w:ascii="仿宋" w:hAnsi="仿宋" w:eastAsia="仿宋" w:cs="仿宋_GB2312"/>
          <w:b w:val="0"/>
          <w:bCs/>
          <w:sz w:val="32"/>
          <w:szCs w:val="32"/>
          <w:lang w:val="en-US" w:eastAsia="zh-CN"/>
        </w:rPr>
        <w:t>以《中南财经政法大学研究生会章程》为依据，加强学院（中心）研究生会制度建设，构建和完善学习制度、会议制度、管理制度、奖惩制度等，推动组织建设规范化，加强制度执行的常态化监督，确保制度规范行之有效，10分。</w:t>
      </w:r>
    </w:p>
    <w:p>
      <w:pPr>
        <w:pStyle w:val="4"/>
        <w:numPr>
          <w:ilvl w:val="0"/>
          <w:numId w:val="0"/>
        </w:numPr>
        <w:adjustRightInd w:val="0"/>
        <w:ind w:firstLine="643" w:firstLineChars="200"/>
        <w:rPr>
          <w:rFonts w:hint="eastAsia" w:ascii="仿宋" w:hAnsi="仿宋" w:eastAsia="仿宋" w:cs="仿宋_GB2312"/>
          <w:b/>
          <w:bCs w:val="0"/>
          <w:sz w:val="32"/>
          <w:szCs w:val="32"/>
        </w:rPr>
      </w:pPr>
      <w:r>
        <w:rPr>
          <w:rFonts w:hint="eastAsia" w:ascii="仿宋" w:hAnsi="仿宋" w:eastAsia="仿宋" w:cs="仿宋_GB2312"/>
          <w:b/>
          <w:bCs w:val="0"/>
          <w:sz w:val="32"/>
          <w:szCs w:val="32"/>
          <w:lang w:eastAsia="zh-CN"/>
        </w:rPr>
        <w:t>（</w:t>
      </w:r>
      <w:r>
        <w:rPr>
          <w:rFonts w:hint="eastAsia" w:ascii="仿宋" w:hAnsi="仿宋" w:eastAsia="仿宋" w:cs="仿宋_GB2312"/>
          <w:b/>
          <w:bCs w:val="0"/>
          <w:sz w:val="32"/>
          <w:szCs w:val="32"/>
          <w:lang w:val="en-US" w:eastAsia="zh-CN"/>
        </w:rPr>
        <w:t>四</w:t>
      </w:r>
      <w:r>
        <w:rPr>
          <w:rFonts w:hint="eastAsia" w:ascii="仿宋" w:hAnsi="仿宋" w:eastAsia="仿宋" w:cs="仿宋_GB2312"/>
          <w:b/>
          <w:bCs w:val="0"/>
          <w:sz w:val="32"/>
          <w:szCs w:val="32"/>
          <w:lang w:eastAsia="zh-CN"/>
        </w:rPr>
        <w:t>）</w:t>
      </w:r>
      <w:r>
        <w:rPr>
          <w:rFonts w:hint="eastAsia" w:ascii="仿宋" w:hAnsi="仿宋" w:eastAsia="仿宋" w:cs="仿宋_GB2312"/>
          <w:b/>
          <w:bCs w:val="0"/>
          <w:sz w:val="32"/>
          <w:szCs w:val="32"/>
        </w:rPr>
        <w:t>作风建设（</w:t>
      </w:r>
      <w:r>
        <w:rPr>
          <w:rFonts w:hint="eastAsia" w:ascii="仿宋" w:hAnsi="仿宋" w:eastAsia="仿宋" w:cs="仿宋_GB2312"/>
          <w:b/>
          <w:bCs w:val="0"/>
          <w:sz w:val="32"/>
          <w:szCs w:val="32"/>
          <w:lang w:val="en-US" w:eastAsia="zh-CN"/>
        </w:rPr>
        <w:t>14</w:t>
      </w:r>
      <w:r>
        <w:rPr>
          <w:rFonts w:hint="eastAsia" w:ascii="仿宋" w:hAnsi="仿宋" w:eastAsia="仿宋" w:cs="仿宋_GB2312"/>
          <w:b/>
          <w:bCs w:val="0"/>
          <w:sz w:val="32"/>
          <w:szCs w:val="32"/>
        </w:rPr>
        <w:t>分）</w:t>
      </w:r>
    </w:p>
    <w:p>
      <w:pPr>
        <w:pStyle w:val="4"/>
        <w:numPr>
          <w:ilvl w:val="0"/>
          <w:numId w:val="0"/>
        </w:numPr>
        <w:adjustRightInd w:val="0"/>
        <w:rPr>
          <w:rFonts w:hint="eastAsia" w:ascii="仿宋" w:hAnsi="仿宋" w:eastAsia="仿宋" w:cs="仿宋_GB2312"/>
          <w:b w:val="0"/>
          <w:bCs/>
          <w:sz w:val="32"/>
          <w:szCs w:val="32"/>
          <w:lang w:val="en-US" w:eastAsia="zh-CN"/>
        </w:rPr>
      </w:pPr>
      <w:r>
        <w:rPr>
          <w:rFonts w:hint="eastAsia" w:ascii="仿宋" w:hAnsi="仿宋" w:eastAsia="仿宋" w:cs="仿宋_GB2312"/>
          <w:b w:val="0"/>
          <w:bCs/>
          <w:sz w:val="32"/>
          <w:szCs w:val="32"/>
          <w:highlight w:val="none"/>
          <w:lang w:val="en-US" w:eastAsia="zh-CN"/>
        </w:rPr>
        <w:t xml:space="preserve">     加强政治监督，研究生组织和研究生干部坚决维护习近平总书记党中央的核心、全党的核心地位，坚决维护党中央权威和集中统一领导；</w:t>
      </w:r>
      <w:r>
        <w:rPr>
          <w:rFonts w:hint="eastAsia" w:ascii="仿宋" w:hAnsi="仿宋" w:eastAsia="仿宋" w:cs="仿宋_GB2312"/>
          <w:b w:val="0"/>
          <w:bCs/>
          <w:sz w:val="32"/>
          <w:szCs w:val="32"/>
          <w:lang w:val="en-US" w:eastAsia="zh-CN"/>
        </w:rPr>
        <w:t>做到党中央提倡的坚决响应、党中央决定的坚决执行、党中央禁止的坚决杜绝，严守政治规矩不动摇，7分</w:t>
      </w:r>
    </w:p>
    <w:p>
      <w:pPr>
        <w:pStyle w:val="4"/>
        <w:numPr>
          <w:ilvl w:val="0"/>
          <w:numId w:val="0"/>
        </w:numPr>
        <w:adjustRightInd w:val="0"/>
        <w:rPr>
          <w:rFonts w:hint="default" w:ascii="仿宋" w:hAnsi="仿宋" w:eastAsia="仿宋" w:cs="仿宋_GB2312"/>
          <w:b w:val="0"/>
          <w:bCs/>
          <w:sz w:val="32"/>
          <w:szCs w:val="32"/>
          <w:lang w:val="en-US" w:eastAsia="zh-CN"/>
        </w:rPr>
      </w:pPr>
      <w:r>
        <w:rPr>
          <w:rFonts w:hint="eastAsia" w:ascii="仿宋" w:hAnsi="仿宋" w:eastAsia="仿宋" w:cs="仿宋_GB2312"/>
          <w:b w:val="0"/>
          <w:bCs/>
          <w:sz w:val="32"/>
          <w:szCs w:val="32"/>
          <w:lang w:val="en-US" w:eastAsia="zh-CN"/>
        </w:rPr>
        <w:t xml:space="preserve">    深刻领悟习近平总书记关于全面从严治党和自我革命的相关论述精神，深刻领悟党的二十大关于全面从严治党的战略部署，按照《关于巩固高校学生会（研究生会）改革成果的若干措施》的要求，全面从严治会，营造风清气正、干净纯粹的组织环境，7分。</w:t>
      </w:r>
    </w:p>
    <w:p>
      <w:pPr>
        <w:pStyle w:val="4"/>
        <w:adjustRightInd w:val="0"/>
        <w:ind w:firstLine="636" w:firstLineChars="198"/>
        <w:rPr>
          <w:rFonts w:hint="eastAsia" w:ascii="仿宋" w:hAnsi="仿宋" w:eastAsia="仿宋" w:cs="仿宋_GB2312"/>
          <w:b/>
          <w:sz w:val="32"/>
          <w:szCs w:val="32"/>
        </w:rPr>
      </w:pPr>
      <w:r>
        <w:rPr>
          <w:rFonts w:hint="eastAsia" w:ascii="仿宋" w:hAnsi="仿宋" w:eastAsia="仿宋" w:cs="仿宋_GB2312"/>
          <w:b/>
          <w:sz w:val="32"/>
          <w:szCs w:val="32"/>
          <w:lang w:val="en-US" w:eastAsia="zh-CN"/>
        </w:rPr>
        <w:t>三</w:t>
      </w:r>
      <w:r>
        <w:rPr>
          <w:rFonts w:hint="eastAsia" w:ascii="仿宋" w:hAnsi="仿宋" w:eastAsia="仿宋" w:cs="仿宋_GB2312"/>
          <w:b/>
          <w:sz w:val="32"/>
          <w:szCs w:val="32"/>
        </w:rPr>
        <w:t>、</w:t>
      </w:r>
      <w:r>
        <w:rPr>
          <w:rFonts w:hint="eastAsia" w:ascii="仿宋" w:hAnsi="仿宋" w:eastAsia="仿宋" w:cs="仿宋_GB2312"/>
          <w:b/>
          <w:sz w:val="32"/>
          <w:szCs w:val="32"/>
          <w:lang w:val="en-US" w:eastAsia="zh-CN"/>
        </w:rPr>
        <w:t>提升服务实效</w:t>
      </w:r>
      <w:r>
        <w:rPr>
          <w:rFonts w:hint="eastAsia" w:ascii="仿宋" w:hAnsi="仿宋" w:eastAsia="仿宋" w:cs="仿宋_GB2312"/>
          <w:b/>
          <w:sz w:val="32"/>
          <w:szCs w:val="32"/>
        </w:rPr>
        <w:t>（</w:t>
      </w:r>
      <w:r>
        <w:rPr>
          <w:rFonts w:hint="eastAsia" w:ascii="仿宋" w:hAnsi="仿宋" w:eastAsia="仿宋" w:cs="仿宋_GB2312"/>
          <w:b/>
          <w:sz w:val="32"/>
          <w:szCs w:val="32"/>
          <w:lang w:val="en-US" w:eastAsia="zh-CN"/>
        </w:rPr>
        <w:t>40</w:t>
      </w:r>
      <w:r>
        <w:rPr>
          <w:rFonts w:hint="eastAsia" w:ascii="仿宋" w:hAnsi="仿宋" w:eastAsia="仿宋" w:cs="仿宋_GB2312"/>
          <w:b/>
          <w:sz w:val="32"/>
          <w:szCs w:val="32"/>
        </w:rPr>
        <w:t>分）</w:t>
      </w:r>
    </w:p>
    <w:p>
      <w:pPr>
        <w:adjustRightInd w:val="0"/>
        <w:ind w:firstLine="640" w:firstLineChars="200"/>
        <w:rPr>
          <w:rFonts w:hint="eastAsia" w:ascii="仿宋" w:hAnsi="仿宋" w:eastAsia="仿宋" w:cs="仿宋_GB2312"/>
          <w:sz w:val="32"/>
          <w:szCs w:val="32"/>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w:t>
      </w:r>
      <w:r>
        <w:rPr>
          <w:rFonts w:hint="eastAsia" w:ascii="仿宋" w:hAnsi="仿宋" w:eastAsia="仿宋"/>
          <w:bCs/>
          <w:sz w:val="32"/>
          <w:szCs w:val="32"/>
        </w:rPr>
        <w:t>在广大研究生中开展形式多样的</w:t>
      </w:r>
      <w:r>
        <w:rPr>
          <w:rFonts w:hint="eastAsia" w:ascii="仿宋" w:hAnsi="仿宋" w:eastAsia="仿宋"/>
          <w:bCs/>
          <w:sz w:val="32"/>
          <w:szCs w:val="32"/>
          <w:lang w:val="en-US" w:eastAsia="zh-CN"/>
        </w:rPr>
        <w:t>思想政治教育</w:t>
      </w:r>
      <w:r>
        <w:rPr>
          <w:rFonts w:hint="eastAsia" w:ascii="仿宋" w:hAnsi="仿宋" w:eastAsia="仿宋"/>
          <w:bCs/>
          <w:sz w:val="32"/>
          <w:szCs w:val="32"/>
        </w:rPr>
        <w:t>活动，</w:t>
      </w:r>
      <w:r>
        <w:rPr>
          <w:rFonts w:hint="eastAsia" w:ascii="仿宋" w:hAnsi="仿宋" w:eastAsia="仿宋"/>
          <w:bCs/>
          <w:sz w:val="32"/>
          <w:szCs w:val="32"/>
          <w:lang w:val="en-US" w:eastAsia="zh-CN"/>
        </w:rPr>
        <w:t>起到良好的政治引领作用，7</w:t>
      </w:r>
      <w:r>
        <w:rPr>
          <w:rFonts w:hint="eastAsia" w:ascii="仿宋" w:hAnsi="仿宋" w:eastAsia="仿宋"/>
          <w:bCs/>
          <w:sz w:val="32"/>
          <w:szCs w:val="32"/>
        </w:rPr>
        <w:t>分。</w:t>
      </w:r>
    </w:p>
    <w:p>
      <w:pPr>
        <w:adjustRightInd w:val="0"/>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二</w:t>
      </w:r>
      <w:r>
        <w:rPr>
          <w:rFonts w:hint="eastAsia" w:ascii="仿宋" w:hAnsi="仿宋" w:eastAsia="仿宋" w:cs="仿宋_GB2312"/>
          <w:color w:val="000000"/>
          <w:sz w:val="32"/>
          <w:szCs w:val="32"/>
        </w:rPr>
        <w:t>）依据活动等级评分，学院（中心）研究生会主办院级</w:t>
      </w:r>
      <w:r>
        <w:rPr>
          <w:rFonts w:hint="eastAsia" w:ascii="仿宋" w:hAnsi="仿宋" w:eastAsia="仿宋" w:cs="仿宋_GB2312"/>
          <w:color w:val="000000"/>
          <w:sz w:val="32"/>
          <w:szCs w:val="32"/>
          <w:lang w:eastAsia="zh-CN"/>
        </w:rPr>
        <w:t>思想政治教育</w:t>
      </w:r>
      <w:r>
        <w:rPr>
          <w:rFonts w:hint="eastAsia" w:ascii="仿宋" w:hAnsi="仿宋" w:eastAsia="仿宋" w:cs="仿宋_GB2312"/>
          <w:color w:val="000000"/>
          <w:sz w:val="32"/>
          <w:szCs w:val="32"/>
        </w:rPr>
        <w:t>活动，当次活动加3分；联合举办</w:t>
      </w:r>
      <w:r>
        <w:rPr>
          <w:rFonts w:hint="eastAsia" w:ascii="仿宋" w:hAnsi="仿宋" w:eastAsia="仿宋" w:cs="仿宋_GB2312"/>
          <w:color w:val="000000"/>
          <w:sz w:val="32"/>
          <w:szCs w:val="32"/>
          <w:lang w:eastAsia="zh-CN"/>
        </w:rPr>
        <w:t>思想政治教育</w:t>
      </w:r>
      <w:r>
        <w:rPr>
          <w:rFonts w:hint="eastAsia" w:ascii="仿宋" w:hAnsi="仿宋" w:eastAsia="仿宋" w:cs="仿宋_GB2312"/>
          <w:color w:val="000000"/>
          <w:sz w:val="32"/>
          <w:szCs w:val="32"/>
        </w:rPr>
        <w:t>活动，当次活动主办学院（中心）研究生会加4分；</w:t>
      </w:r>
      <w:r>
        <w:rPr>
          <w:rFonts w:hint="eastAsia" w:ascii="仿宋" w:hAnsi="仿宋" w:eastAsia="仿宋" w:cs="仿宋_GB2312"/>
          <w:color w:val="000000"/>
          <w:sz w:val="32"/>
          <w:szCs w:val="32"/>
          <w:highlight w:val="none"/>
        </w:rPr>
        <w:t>主办</w:t>
      </w:r>
      <w:r>
        <w:rPr>
          <w:rFonts w:hint="eastAsia" w:ascii="仿宋" w:hAnsi="仿宋" w:eastAsia="仿宋" w:cs="仿宋_GB2312"/>
          <w:color w:val="000000"/>
          <w:sz w:val="32"/>
          <w:szCs w:val="32"/>
          <w:highlight w:val="none"/>
          <w:lang w:val="en-US" w:eastAsia="zh-CN"/>
        </w:rPr>
        <w:t>校际</w:t>
      </w:r>
      <w:r>
        <w:rPr>
          <w:rFonts w:hint="eastAsia" w:ascii="仿宋" w:hAnsi="仿宋" w:eastAsia="仿宋" w:cs="仿宋_GB2312"/>
          <w:color w:val="000000"/>
          <w:sz w:val="32"/>
          <w:szCs w:val="32"/>
          <w:highlight w:val="none"/>
        </w:rPr>
        <w:t>间</w:t>
      </w:r>
      <w:r>
        <w:rPr>
          <w:rFonts w:hint="eastAsia" w:ascii="仿宋" w:hAnsi="仿宋" w:eastAsia="仿宋" w:cs="仿宋_GB2312"/>
          <w:color w:val="000000"/>
          <w:sz w:val="32"/>
          <w:szCs w:val="32"/>
          <w:highlight w:val="none"/>
          <w:lang w:eastAsia="zh-CN"/>
        </w:rPr>
        <w:t>思想政治教</w:t>
      </w:r>
      <w:r>
        <w:rPr>
          <w:rFonts w:hint="eastAsia" w:ascii="仿宋" w:hAnsi="仿宋" w:eastAsia="仿宋" w:cs="仿宋_GB2312"/>
          <w:color w:val="000000"/>
          <w:sz w:val="32"/>
          <w:szCs w:val="32"/>
          <w:lang w:eastAsia="zh-CN"/>
        </w:rPr>
        <w:t>育</w:t>
      </w:r>
      <w:r>
        <w:rPr>
          <w:rFonts w:hint="eastAsia" w:ascii="仿宋" w:hAnsi="仿宋" w:eastAsia="仿宋" w:cs="仿宋_GB2312"/>
          <w:color w:val="000000"/>
          <w:sz w:val="32"/>
          <w:szCs w:val="32"/>
        </w:rPr>
        <w:t>活动，当次活动加</w:t>
      </w:r>
      <w:r>
        <w:rPr>
          <w:rFonts w:hint="eastAsia" w:ascii="仿宋" w:hAnsi="仿宋" w:eastAsia="仿宋" w:cs="仿宋_GB2312"/>
          <w:color w:val="000000"/>
          <w:sz w:val="32"/>
          <w:szCs w:val="32"/>
          <w:lang w:val="en-US" w:eastAsia="zh-CN"/>
        </w:rPr>
        <w:t>6</w:t>
      </w:r>
      <w:r>
        <w:rPr>
          <w:rFonts w:hint="eastAsia" w:ascii="仿宋" w:hAnsi="仿宋" w:eastAsia="仿宋" w:cs="仿宋_GB2312"/>
          <w:color w:val="000000"/>
          <w:sz w:val="32"/>
          <w:szCs w:val="32"/>
        </w:rPr>
        <w:t>分</w:t>
      </w:r>
      <w:r>
        <w:rPr>
          <w:rFonts w:hint="eastAsia" w:ascii="仿宋" w:hAnsi="仿宋" w:eastAsia="仿宋" w:cs="仿宋_GB2312"/>
          <w:color w:val="000000"/>
          <w:sz w:val="32"/>
          <w:szCs w:val="32"/>
          <w:lang w:eastAsia="zh-CN"/>
        </w:rPr>
        <w:t>。该项累计最</w:t>
      </w:r>
      <w:r>
        <w:rPr>
          <w:rFonts w:hint="eastAsia" w:ascii="仿宋" w:hAnsi="仿宋" w:eastAsia="仿宋" w:cs="仿宋_GB2312"/>
          <w:color w:val="000000"/>
          <w:sz w:val="32"/>
          <w:szCs w:val="32"/>
          <w:lang w:val="en-US" w:eastAsia="zh-CN"/>
        </w:rPr>
        <w:t>高</w:t>
      </w:r>
      <w:r>
        <w:rPr>
          <w:rFonts w:hint="eastAsia" w:ascii="仿宋" w:hAnsi="仿宋" w:eastAsia="仿宋" w:cs="仿宋_GB2312"/>
          <w:color w:val="000000"/>
          <w:sz w:val="32"/>
          <w:szCs w:val="32"/>
          <w:lang w:eastAsia="zh-CN"/>
        </w:rPr>
        <w:t>加</w:t>
      </w:r>
      <w:r>
        <w:rPr>
          <w:rFonts w:hint="eastAsia" w:ascii="仿宋" w:hAnsi="仿宋" w:eastAsia="仿宋" w:cs="仿宋_GB2312"/>
          <w:color w:val="000000"/>
          <w:sz w:val="32"/>
          <w:szCs w:val="32"/>
          <w:lang w:val="en-US" w:eastAsia="zh-CN"/>
        </w:rPr>
        <w:t>6</w:t>
      </w:r>
      <w:r>
        <w:rPr>
          <w:rFonts w:hint="eastAsia" w:ascii="仿宋" w:hAnsi="仿宋" w:eastAsia="仿宋" w:cs="仿宋_GB2312"/>
          <w:color w:val="000000"/>
          <w:sz w:val="32"/>
          <w:szCs w:val="32"/>
          <w:lang w:eastAsia="zh-CN"/>
        </w:rPr>
        <w:t>分。</w:t>
      </w:r>
    </w:p>
    <w:p>
      <w:pPr>
        <w:adjustRightInd w:val="0"/>
        <w:ind w:firstLine="640" w:firstLineChars="200"/>
        <w:rPr>
          <w:rFonts w:hint="eastAsia" w:ascii="仿宋" w:hAnsi="仿宋" w:eastAsia="仿宋" w:cs="仿宋_GB2312"/>
          <w:sz w:val="32"/>
          <w:szCs w:val="32"/>
        </w:rPr>
      </w:pP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三</w:t>
      </w: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引发</w:t>
      </w:r>
      <w:r>
        <w:rPr>
          <w:rFonts w:hint="eastAsia" w:ascii="仿宋" w:hAnsi="仿宋" w:eastAsia="仿宋" w:cs="仿宋_GB2312"/>
          <w:color w:val="000000"/>
          <w:sz w:val="32"/>
          <w:szCs w:val="32"/>
        </w:rPr>
        <w:t>师生广泛关注</w:t>
      </w:r>
      <w:r>
        <w:rPr>
          <w:rFonts w:hint="eastAsia" w:ascii="仿宋" w:hAnsi="仿宋" w:eastAsia="仿宋" w:cs="仿宋_GB2312"/>
          <w:color w:val="000000"/>
          <w:sz w:val="32"/>
          <w:szCs w:val="32"/>
          <w:lang w:eastAsia="zh-CN"/>
        </w:rPr>
        <w:t>、</w:t>
      </w:r>
      <w:r>
        <w:rPr>
          <w:rFonts w:hint="eastAsia" w:ascii="仿宋" w:hAnsi="仿宋" w:eastAsia="仿宋" w:cs="仿宋_GB2312"/>
          <w:i w:val="0"/>
          <w:iCs w:val="0"/>
          <w:caps w:val="0"/>
          <w:color w:val="000000"/>
          <w:spacing w:val="0"/>
          <w:sz w:val="32"/>
          <w:szCs w:val="32"/>
          <w:shd w:val="clear" w:color="auto" w:fill="auto"/>
        </w:rPr>
        <w:t>浓厚兴趣和强烈共鸣</w:t>
      </w:r>
      <w:r>
        <w:rPr>
          <w:rFonts w:hint="eastAsia" w:ascii="仿宋" w:hAnsi="仿宋" w:eastAsia="仿宋" w:cs="仿宋_GB2312"/>
          <w:color w:val="000000"/>
          <w:sz w:val="32"/>
          <w:szCs w:val="32"/>
        </w:rPr>
        <w:t>，活动反响较大，5分。</w:t>
      </w:r>
    </w:p>
    <w:p>
      <w:pPr>
        <w:adjustRightInd w:val="0"/>
        <w:ind w:firstLine="640" w:firstLineChars="200"/>
        <w:rPr>
          <w:rFonts w:hint="eastAsia" w:ascii="仿宋" w:hAnsi="仿宋" w:eastAsia="仿宋" w:cs="仿宋_GB2312"/>
          <w:sz w:val="32"/>
          <w:szCs w:val="32"/>
        </w:rPr>
      </w:pP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四</w:t>
      </w:r>
      <w:r>
        <w:rPr>
          <w:rFonts w:hint="eastAsia" w:ascii="仿宋" w:hAnsi="仿宋" w:eastAsia="仿宋" w:cs="仿宋_GB2312"/>
          <w:color w:val="000000"/>
          <w:sz w:val="32"/>
          <w:szCs w:val="32"/>
        </w:rPr>
        <w:t>）</w:t>
      </w:r>
      <w:r>
        <w:rPr>
          <w:rFonts w:hint="eastAsia" w:ascii="仿宋" w:hAnsi="仿宋" w:eastAsia="仿宋" w:cs="仿宋_GB2312"/>
          <w:sz w:val="32"/>
          <w:szCs w:val="32"/>
        </w:rPr>
        <w:t>举办</w:t>
      </w:r>
      <w:r>
        <w:rPr>
          <w:rFonts w:hint="eastAsia" w:ascii="仿宋" w:hAnsi="仿宋" w:eastAsia="仿宋" w:cs="仿宋_GB2312"/>
          <w:sz w:val="32"/>
          <w:szCs w:val="32"/>
          <w:lang w:val="en-US" w:eastAsia="zh-CN"/>
        </w:rPr>
        <w:t>的思想政治教育</w:t>
      </w:r>
      <w:r>
        <w:rPr>
          <w:rFonts w:hint="eastAsia" w:ascii="仿宋" w:hAnsi="仿宋" w:eastAsia="仿宋" w:cs="仿宋_GB2312"/>
          <w:color w:val="000000"/>
          <w:sz w:val="32"/>
          <w:szCs w:val="32"/>
        </w:rPr>
        <w:t>活动邀请知名专家学者或业界专家</w:t>
      </w:r>
      <w:r>
        <w:rPr>
          <w:rFonts w:hint="eastAsia" w:ascii="仿宋" w:hAnsi="仿宋" w:eastAsia="仿宋" w:cs="仿宋_GB2312"/>
          <w:sz w:val="32"/>
          <w:szCs w:val="32"/>
        </w:rPr>
        <w:t>作为主讲人或参与嘉宾，</w:t>
      </w:r>
      <w:r>
        <w:rPr>
          <w:rFonts w:hint="eastAsia" w:ascii="仿宋" w:hAnsi="仿宋" w:eastAsia="仿宋" w:cs="仿宋_GB2312"/>
          <w:sz w:val="32"/>
          <w:szCs w:val="32"/>
          <w:lang w:val="en-US" w:eastAsia="zh-CN"/>
        </w:rPr>
        <w:t>取得较好的效果，4</w:t>
      </w:r>
      <w:r>
        <w:rPr>
          <w:rFonts w:hint="eastAsia" w:ascii="仿宋" w:hAnsi="仿宋" w:eastAsia="仿宋" w:cs="仿宋_GB2312"/>
          <w:sz w:val="32"/>
          <w:szCs w:val="32"/>
        </w:rPr>
        <w:t>分。</w:t>
      </w:r>
    </w:p>
    <w:p>
      <w:pPr>
        <w:adjustRightInd w:val="0"/>
        <w:ind w:firstLine="640" w:firstLineChars="200"/>
        <w:rPr>
          <w:rFonts w:hint="default" w:ascii="仿宋" w:hAnsi="仿宋" w:eastAsia="仿宋" w:cs="仿宋_GB2312"/>
          <w:color w:val="000000"/>
          <w:sz w:val="32"/>
          <w:szCs w:val="32"/>
          <w:highlight w:val="none"/>
          <w:lang w:val="en-US" w:eastAsia="zh-CN"/>
        </w:rPr>
      </w:pPr>
      <w:r>
        <w:rPr>
          <w:rFonts w:hint="eastAsia"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五</w:t>
      </w:r>
      <w:r>
        <w:rPr>
          <w:rFonts w:hint="eastAsia" w:ascii="仿宋" w:hAnsi="仿宋" w:eastAsia="仿宋" w:cs="仿宋_GB2312"/>
          <w:sz w:val="32"/>
          <w:szCs w:val="32"/>
          <w:highlight w:val="none"/>
        </w:rPr>
        <w:t>）活动充分结合本学院（中心）学科特色，与本学院（中心）研究生学习专业联系紧密，可以充分调动研究生的积极性，在研究生校园文化活动中具有引领作用，</w:t>
      </w:r>
      <w:r>
        <w:rPr>
          <w:rFonts w:hint="eastAsia" w:ascii="仿宋" w:hAnsi="仿宋" w:eastAsia="仿宋" w:cs="仿宋_GB2312"/>
          <w:sz w:val="32"/>
          <w:szCs w:val="32"/>
          <w:highlight w:val="none"/>
          <w:lang w:val="en-US" w:eastAsia="zh-CN"/>
        </w:rPr>
        <w:t>4分。</w:t>
      </w:r>
    </w:p>
    <w:p>
      <w:pPr>
        <w:adjustRightInd w:val="0"/>
        <w:ind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六</w:t>
      </w:r>
      <w:r>
        <w:rPr>
          <w:rFonts w:hint="eastAsia" w:ascii="仿宋" w:hAnsi="仿宋" w:eastAsia="仿宋" w:cs="仿宋_GB2312"/>
          <w:sz w:val="32"/>
          <w:szCs w:val="32"/>
          <w:highlight w:val="none"/>
        </w:rPr>
        <w:t>）活动具有传承性，在学院（中心）举办届数较多，或与往年相比更好地提炼品牌亮点，凝练品牌特色，</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分。</w:t>
      </w:r>
      <w:r>
        <w:rPr>
          <w:rFonts w:hint="eastAsia" w:ascii="仿宋" w:hAnsi="仿宋" w:eastAsia="仿宋" w:cs="仿宋_GB2312"/>
          <w:sz w:val="32"/>
          <w:szCs w:val="32"/>
          <w:highlight w:val="none"/>
          <w:lang w:val="en-US" w:eastAsia="zh-CN"/>
        </w:rPr>
        <w:t xml:space="preserve"> </w:t>
      </w:r>
    </w:p>
    <w:p>
      <w:pPr>
        <w:adjustRightInd w:val="0"/>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七</w:t>
      </w:r>
      <w:r>
        <w:rPr>
          <w:rFonts w:hint="eastAsia" w:ascii="仿宋" w:hAnsi="仿宋" w:eastAsia="仿宋" w:cs="仿宋_GB2312"/>
          <w:sz w:val="32"/>
          <w:szCs w:val="32"/>
        </w:rPr>
        <w:t>）活动形式具有创新性，具有较好的推广价值和借鉴意义，</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分。</w:t>
      </w:r>
    </w:p>
    <w:p>
      <w:pPr>
        <w:adjustRightInd w:val="0"/>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八</w:t>
      </w:r>
      <w:r>
        <w:rPr>
          <w:rFonts w:hint="eastAsia" w:ascii="仿宋" w:hAnsi="仿宋" w:eastAsia="仿宋" w:cs="仿宋_GB2312"/>
          <w:color w:val="000000"/>
          <w:sz w:val="32"/>
          <w:szCs w:val="32"/>
        </w:rPr>
        <w:t>）有助于提升我校在兄弟高校中的影响力和竞争力，如能够与国内外知名学者进行良性互动和维持长期合作关系，</w:t>
      </w:r>
      <w:r>
        <w:rPr>
          <w:rFonts w:hint="eastAsia" w:ascii="仿宋" w:hAnsi="仿宋" w:eastAsia="仿宋" w:cs="仿宋_GB2312"/>
          <w:color w:val="000000"/>
          <w:sz w:val="32"/>
          <w:szCs w:val="32"/>
          <w:lang w:val="en-US" w:eastAsia="zh-CN"/>
        </w:rPr>
        <w:t>3</w:t>
      </w:r>
      <w:r>
        <w:rPr>
          <w:rFonts w:hint="eastAsia" w:ascii="仿宋" w:hAnsi="仿宋" w:eastAsia="仿宋" w:cs="仿宋_GB2312"/>
          <w:color w:val="000000"/>
          <w:sz w:val="32"/>
          <w:szCs w:val="32"/>
        </w:rPr>
        <w:t>分。</w:t>
      </w:r>
    </w:p>
    <w:p>
      <w:pPr>
        <w:adjustRightInd w:val="0"/>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九</w:t>
      </w:r>
      <w:r>
        <w:rPr>
          <w:rFonts w:hint="eastAsia" w:ascii="仿宋" w:hAnsi="仿宋" w:eastAsia="仿宋" w:cs="仿宋_GB2312"/>
          <w:sz w:val="32"/>
          <w:szCs w:val="32"/>
        </w:rPr>
        <w:t>）活动受到表彰或在相关媒体上被报道。国家级媒体加5分，省级媒体加3分，市级媒体加2分，校级媒体（学校文澜新闻网、党委研究生工作部官网、校报）加1分，院级加0.5分。该项累计最</w:t>
      </w:r>
      <w:r>
        <w:rPr>
          <w:rFonts w:hint="eastAsia" w:ascii="仿宋" w:hAnsi="仿宋" w:eastAsia="仿宋" w:cs="仿宋_GB2312"/>
          <w:sz w:val="32"/>
          <w:szCs w:val="32"/>
          <w:lang w:val="en-US" w:eastAsia="zh-CN"/>
        </w:rPr>
        <w:t>高</w:t>
      </w:r>
      <w:r>
        <w:rPr>
          <w:rFonts w:hint="eastAsia" w:ascii="仿宋" w:hAnsi="仿宋" w:eastAsia="仿宋" w:cs="仿宋_GB2312"/>
          <w:sz w:val="32"/>
          <w:szCs w:val="32"/>
        </w:rPr>
        <w:t>加</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分。</w:t>
      </w:r>
    </w:p>
    <w:p>
      <w:pPr>
        <w:pStyle w:val="4"/>
        <w:adjustRightInd w:val="0"/>
        <w:ind w:firstLine="636" w:firstLineChars="198"/>
        <w:rPr>
          <w:rFonts w:hint="eastAsia" w:ascii="仿宋" w:hAnsi="仿宋" w:eastAsia="仿宋" w:cs="仿宋_GB2312"/>
          <w:b/>
          <w:color w:val="000000"/>
          <w:sz w:val="32"/>
          <w:szCs w:val="32"/>
        </w:rPr>
      </w:pPr>
      <w:r>
        <w:rPr>
          <w:rFonts w:hint="eastAsia" w:ascii="仿宋" w:hAnsi="仿宋" w:eastAsia="仿宋" w:cs="仿宋_GB2312"/>
          <w:b/>
          <w:color w:val="000000"/>
          <w:sz w:val="32"/>
          <w:szCs w:val="32"/>
          <w:lang w:val="en-US" w:eastAsia="zh-CN"/>
        </w:rPr>
        <w:t>四</w:t>
      </w:r>
      <w:r>
        <w:rPr>
          <w:rFonts w:hint="eastAsia" w:ascii="仿宋" w:hAnsi="仿宋" w:eastAsia="仿宋" w:cs="仿宋_GB2312"/>
          <w:b/>
          <w:color w:val="000000"/>
          <w:sz w:val="32"/>
          <w:szCs w:val="32"/>
        </w:rPr>
        <w:t>、申报要求</w:t>
      </w:r>
    </w:p>
    <w:p>
      <w:pPr>
        <w:adjustRightInd w:val="0"/>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（一）申报数量。政治引领单项奖申报数量不得超过</w:t>
      </w:r>
      <w:r>
        <w:rPr>
          <w:rFonts w:hint="eastAsia" w:ascii="仿宋" w:hAnsi="仿宋" w:eastAsia="仿宋" w:cs="仿宋_GB2312"/>
          <w:color w:val="000000"/>
          <w:sz w:val="32"/>
          <w:szCs w:val="32"/>
          <w:lang w:val="en-US" w:eastAsia="zh-CN"/>
        </w:rPr>
        <w:t>2</w:t>
      </w:r>
      <w:r>
        <w:rPr>
          <w:rFonts w:hint="eastAsia" w:ascii="仿宋" w:hAnsi="仿宋" w:eastAsia="仿宋" w:cs="仿宋_GB2312"/>
          <w:color w:val="000000"/>
          <w:sz w:val="32"/>
          <w:szCs w:val="32"/>
        </w:rPr>
        <w:t>个，以申报单项奖活动的最高得分为最终成绩。</w:t>
      </w:r>
    </w:p>
    <w:p>
      <w:pPr>
        <w:adjustRightInd w:val="0"/>
        <w:ind w:firstLine="640" w:firstLineChars="200"/>
        <w:rPr>
          <w:rFonts w:hint="eastAsia" w:ascii="仿宋" w:hAnsi="仿宋" w:eastAsia="仿宋" w:cs="仿宋_GB2312"/>
          <w:color w:val="000000"/>
          <w:sz w:val="32"/>
          <w:szCs w:val="32"/>
        </w:rPr>
      </w:pPr>
      <w:bookmarkStart w:id="0" w:name="_Hlk513137910"/>
      <w:r>
        <w:rPr>
          <w:rFonts w:hint="eastAsia" w:ascii="仿宋" w:hAnsi="仿宋" w:eastAsia="仿宋" w:cs="仿宋_GB2312"/>
          <w:color w:val="000000"/>
          <w:sz w:val="32"/>
          <w:szCs w:val="32"/>
        </w:rPr>
        <w:t>（二）申报条件。该活动必须为学院（中心）研究生会主办，学院（中心）研究生会承办校研究生会活动或协办联合举办类活动，该活动不可申报政治引领单项奖。</w:t>
      </w:r>
    </w:p>
    <w:p>
      <w:pPr>
        <w:adjustRightInd w:val="0"/>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三）考核分为申报材料考核、风采展示和现场答辩。其中，申报材料由校研究生会考核小组依据本文件进行评分。风采展示由各学院（中心）借助学院研会微信公众号、学院官网等平台对所在学院（中心）研究生会</w:t>
      </w:r>
      <w:r>
        <w:rPr>
          <w:rFonts w:hint="eastAsia" w:ascii="仿宋" w:hAnsi="仿宋" w:eastAsia="仿宋" w:cs="仿宋_GB2312"/>
          <w:color w:val="000000"/>
          <w:sz w:val="32"/>
          <w:szCs w:val="32"/>
          <w:highlight w:val="none"/>
          <w:lang w:val="en-US" w:eastAsia="zh-CN"/>
        </w:rPr>
        <w:t>思想政治教育</w:t>
      </w:r>
      <w:r>
        <w:rPr>
          <w:rFonts w:hint="eastAsia" w:ascii="仿宋" w:hAnsi="仿宋" w:eastAsia="仿宋" w:cs="仿宋_GB2312"/>
          <w:color w:val="000000"/>
          <w:sz w:val="32"/>
          <w:szCs w:val="32"/>
        </w:rPr>
        <w:t>活动进行简要介绍，校研究生会在“中南财经政法大学研究生会微信公众号”组织投票，根据投票结果计分。现场答辩由校研究生会秘书处组织各学院（中心）主席团成员集中答辩。</w:t>
      </w:r>
    </w:p>
    <w:p>
      <w:pPr>
        <w:adjustRightInd w:val="0"/>
        <w:ind w:firstLine="560"/>
        <w:rPr>
          <w:rFonts w:hint="eastAsia" w:ascii="仿宋" w:hAnsi="仿宋" w:eastAsia="仿宋" w:cs="仿宋_GB2312"/>
          <w:color w:val="000000"/>
          <w:sz w:val="32"/>
          <w:szCs w:val="32"/>
        </w:rPr>
      </w:pPr>
      <w:r>
        <w:rPr>
          <w:rFonts w:hint="eastAsia" w:ascii="仿宋" w:hAnsi="仿宋" w:eastAsia="仿宋" w:cs="仿宋_GB2312"/>
          <w:color w:val="000000"/>
          <w:sz w:val="32"/>
          <w:szCs w:val="32"/>
        </w:rPr>
        <w:t>（四）</w:t>
      </w:r>
      <w:r>
        <w:rPr>
          <w:rFonts w:ascii="仿宋" w:hAnsi="仿宋" w:eastAsia="仿宋" w:cs="仿宋_GB2312"/>
          <w:color w:val="000000"/>
          <w:sz w:val="32"/>
          <w:szCs w:val="32"/>
        </w:rPr>
        <w:t>评比分数。实行百分制，各学院（中心）最终得分=20%*申报材料得分+30%*</w:t>
      </w:r>
      <w:r>
        <w:rPr>
          <w:rFonts w:hint="eastAsia" w:ascii="仿宋" w:hAnsi="仿宋" w:eastAsia="仿宋" w:cs="仿宋_GB2312"/>
          <w:color w:val="000000"/>
          <w:sz w:val="32"/>
          <w:szCs w:val="32"/>
        </w:rPr>
        <w:t>风采</w:t>
      </w:r>
      <w:r>
        <w:rPr>
          <w:rFonts w:ascii="仿宋" w:hAnsi="仿宋" w:eastAsia="仿宋" w:cs="仿宋_GB2312"/>
          <w:color w:val="000000"/>
          <w:sz w:val="32"/>
          <w:szCs w:val="32"/>
        </w:rPr>
        <w:t>展示得分+50%*答辩得分。</w:t>
      </w:r>
      <w:r>
        <w:rPr>
          <w:rFonts w:hint="eastAsia" w:ascii="仿宋" w:hAnsi="仿宋" w:eastAsia="仿宋" w:cs="仿宋_GB2312"/>
          <w:color w:val="000000"/>
          <w:sz w:val="32"/>
          <w:szCs w:val="32"/>
        </w:rPr>
        <w:t>其中，风采展示得分按照如下规则计算：</w:t>
      </w:r>
    </w:p>
    <w:tbl>
      <w:tblPr>
        <w:tblStyle w:val="2"/>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b/>
                <w:bCs/>
                <w:color w:val="000000"/>
                <w:sz w:val="32"/>
                <w:szCs w:val="32"/>
              </w:rPr>
            </w:pPr>
            <w:r>
              <w:rPr>
                <w:rFonts w:hint="eastAsia" w:ascii="仿宋" w:hAnsi="仿宋" w:eastAsia="仿宋"/>
                <w:b/>
                <w:bCs/>
                <w:color w:val="000000"/>
                <w:sz w:val="32"/>
                <w:szCs w:val="32"/>
              </w:rPr>
              <w:t>投票人数占学院（中心）全日制硕士研究生总人数的比例</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b/>
                <w:bCs/>
                <w:color w:val="000000"/>
                <w:sz w:val="32"/>
                <w:szCs w:val="32"/>
              </w:rPr>
            </w:pPr>
            <w:r>
              <w:rPr>
                <w:rFonts w:hint="eastAsia" w:ascii="仿宋" w:hAnsi="仿宋" w:eastAsia="仿宋"/>
                <w:b/>
                <w:bCs/>
                <w:color w:val="000000"/>
                <w:sz w:val="32"/>
                <w:szCs w:val="32"/>
              </w:rPr>
              <w:t>风采展示得分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≥90%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≥80%，＜90%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≥70%，＜80%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≥60%，＜70%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≥50%，＜60%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＜50%</w:t>
            </w:r>
          </w:p>
        </w:tc>
        <w:tc>
          <w:tcPr>
            <w:tcW w:w="3544" w:type="dxa"/>
            <w:tcBorders>
              <w:top w:val="single" w:color="auto" w:sz="4" w:space="0"/>
              <w:left w:val="nil"/>
              <w:bottom w:val="single" w:color="auto" w:sz="4" w:space="0"/>
              <w:right w:val="single" w:color="auto" w:sz="4" w:space="0"/>
            </w:tcBorders>
            <w:noWrap w:val="0"/>
            <w:vAlign w:val="center"/>
          </w:tcPr>
          <w:p>
            <w:pPr>
              <w:jc w:val="center"/>
              <w:rPr>
                <w:rFonts w:ascii="仿宋" w:hAnsi="仿宋" w:eastAsia="仿宋"/>
                <w:color w:val="000000"/>
                <w:sz w:val="32"/>
                <w:szCs w:val="32"/>
              </w:rPr>
            </w:pPr>
            <w:r>
              <w:rPr>
                <w:rFonts w:hint="eastAsia" w:ascii="仿宋" w:hAnsi="仿宋" w:eastAsia="仿宋"/>
                <w:color w:val="000000"/>
                <w:sz w:val="32"/>
                <w:szCs w:val="32"/>
              </w:rPr>
              <w:t>0</w:t>
            </w:r>
          </w:p>
        </w:tc>
      </w:tr>
      <w:bookmarkEnd w:id="0"/>
    </w:tbl>
    <w:p>
      <w:pPr>
        <w:pStyle w:val="4"/>
        <w:wordWrap w:val="0"/>
        <w:adjustRightInd w:val="0"/>
        <w:jc w:val="right"/>
        <w:rPr>
          <w:rFonts w:hint="eastAsia" w:ascii="仿宋" w:hAnsi="仿宋" w:eastAsia="仿宋" w:cs="仿宋_GB2312"/>
          <w:sz w:val="32"/>
          <w:szCs w:val="32"/>
        </w:rPr>
      </w:pPr>
    </w:p>
    <w:p>
      <w:pPr>
        <w:pStyle w:val="4"/>
        <w:wordWrap w:val="0"/>
        <w:adjustRightInd w:val="0"/>
        <w:jc w:val="right"/>
        <w:rPr>
          <w:rFonts w:hint="eastAsia" w:ascii="仿宋" w:hAnsi="仿宋" w:eastAsia="仿宋" w:cs="仿宋_GB2312"/>
          <w:sz w:val="32"/>
          <w:szCs w:val="32"/>
        </w:rPr>
      </w:pPr>
      <w:r>
        <w:rPr>
          <w:rFonts w:hint="eastAsia" w:ascii="仿宋" w:hAnsi="仿宋" w:eastAsia="仿宋" w:cs="仿宋_GB2312"/>
          <w:sz w:val="32"/>
          <w:szCs w:val="32"/>
        </w:rPr>
        <w:t>中南财经政法大学研究生会</w:t>
      </w:r>
    </w:p>
    <w:p>
      <w:pPr>
        <w:pStyle w:val="4"/>
        <w:wordWrap/>
        <w:adjustRightInd w:val="0"/>
        <w:ind w:right="1280" w:firstLine="4947" w:firstLineChars="1546"/>
        <w:jc w:val="right"/>
        <w:rPr>
          <w:rFonts w:hint="eastAsia" w:ascii="仿宋" w:hAnsi="仿宋" w:eastAsia="仿宋" w:cs="仿宋_GB2312"/>
          <w:sz w:val="32"/>
          <w:szCs w:val="32"/>
        </w:rPr>
      </w:pPr>
      <w:r>
        <w:rPr>
          <w:rFonts w:hint="eastAsia" w:ascii="仿宋" w:hAnsi="仿宋" w:eastAsia="仿宋" w:cs="仿宋_GB2312"/>
          <w:sz w:val="32"/>
          <w:szCs w:val="32"/>
        </w:rPr>
        <w:t>2</w:t>
      </w:r>
      <w:r>
        <w:rPr>
          <w:rFonts w:ascii="仿宋" w:hAnsi="仿宋" w:eastAsia="仿宋" w:cs="仿宋_GB2312"/>
          <w:sz w:val="32"/>
          <w:szCs w:val="32"/>
        </w:rPr>
        <w:t>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年5月</w:t>
      </w:r>
    </w:p>
    <w:p>
      <w:pPr>
        <w:pStyle w:val="4"/>
        <w:wordWrap/>
        <w:adjustRightInd w:val="0"/>
        <w:ind w:right="1280" w:firstLine="4947" w:firstLineChars="1546"/>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wordWrap/>
        <w:adjustRightInd w:val="0"/>
        <w:ind w:right="1280"/>
        <w:jc w:val="left"/>
        <w:rPr>
          <w:rFonts w:hint="eastAsia" w:ascii="仿宋" w:hAnsi="仿宋" w:eastAsia="仿宋" w:cs="仿宋_GB2312"/>
          <w:sz w:val="32"/>
          <w:szCs w:val="32"/>
        </w:rPr>
      </w:pPr>
    </w:p>
    <w:p>
      <w:pPr>
        <w:pStyle w:val="4"/>
        <w:keepNext w:val="0"/>
        <w:keepLines w:val="0"/>
        <w:pageBreakBefore w:val="0"/>
        <w:widowControl/>
        <w:kinsoku/>
        <w:wordWrap/>
        <w:overflowPunct/>
        <w:topLinePunct w:val="0"/>
        <w:autoSpaceDE/>
        <w:autoSpaceDN/>
        <w:bidi w:val="0"/>
        <w:adjustRightInd w:val="0"/>
        <w:snapToGrid/>
        <w:ind w:right="0"/>
        <w:jc w:val="center"/>
        <w:textAlignment w:val="auto"/>
        <w:rPr>
          <w:rFonts w:hint="eastAsia" w:ascii="仿宋" w:hAnsi="仿宋" w:eastAsia="仿宋"/>
          <w:b/>
          <w:sz w:val="32"/>
          <w:szCs w:val="32"/>
        </w:rPr>
      </w:pPr>
      <w:r>
        <w:rPr>
          <w:rFonts w:hint="eastAsia" w:ascii="仿宋" w:hAnsi="仿宋" w:eastAsia="仿宋"/>
          <w:b/>
          <w:sz w:val="32"/>
          <w:szCs w:val="32"/>
        </w:rPr>
        <w:t>2023—2024学年研究生综合表彰“政治引领单项奖”申报表</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263"/>
        <w:gridCol w:w="1975"/>
        <w:gridCol w:w="2160"/>
        <w:gridCol w:w="2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165" w:type="dxa"/>
            <w:gridSpan w:val="2"/>
            <w:noWrap w:val="0"/>
            <w:vAlign w:val="center"/>
          </w:tcPr>
          <w:p>
            <w:pPr>
              <w:spacing w:line="460" w:lineRule="exact"/>
              <w:jc w:val="center"/>
              <w:rPr>
                <w:rFonts w:hint="eastAsia" w:ascii="仿宋" w:hAnsi="仿宋" w:eastAsia="仿宋"/>
                <w:b/>
                <w:sz w:val="24"/>
              </w:rPr>
            </w:pPr>
            <w:r>
              <w:rPr>
                <w:rFonts w:hint="eastAsia" w:ascii="仿宋" w:hAnsi="仿宋" w:eastAsia="仿宋"/>
                <w:sz w:val="24"/>
              </w:rPr>
              <w:t>研究生会名称</w:t>
            </w:r>
          </w:p>
        </w:tc>
        <w:tc>
          <w:tcPr>
            <w:tcW w:w="6317" w:type="dxa"/>
            <w:gridSpan w:val="3"/>
            <w:noWrap w:val="0"/>
            <w:vAlign w:val="center"/>
          </w:tcPr>
          <w:p>
            <w:pPr>
              <w:spacing w:line="460" w:lineRule="exact"/>
              <w:jc w:val="center"/>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165" w:type="dxa"/>
            <w:gridSpan w:val="2"/>
            <w:noWrap w:val="0"/>
            <w:vAlign w:val="center"/>
          </w:tcPr>
          <w:p>
            <w:pPr>
              <w:spacing w:line="460" w:lineRule="exact"/>
              <w:jc w:val="center"/>
              <w:rPr>
                <w:rFonts w:hint="eastAsia" w:ascii="仿宋" w:hAnsi="仿宋" w:eastAsia="仿宋"/>
                <w:sz w:val="24"/>
              </w:rPr>
            </w:pPr>
            <w:r>
              <w:rPr>
                <w:rFonts w:hint="eastAsia" w:ascii="仿宋" w:hAnsi="仿宋" w:eastAsia="仿宋"/>
                <w:sz w:val="24"/>
              </w:rPr>
              <w:t>活动名称</w:t>
            </w:r>
          </w:p>
        </w:tc>
        <w:tc>
          <w:tcPr>
            <w:tcW w:w="6317" w:type="dxa"/>
            <w:gridSpan w:val="3"/>
            <w:noWrap w:val="0"/>
            <w:vAlign w:val="center"/>
          </w:tcPr>
          <w:p>
            <w:pPr>
              <w:spacing w:line="460" w:lineRule="exact"/>
              <w:jc w:val="center"/>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165" w:type="dxa"/>
            <w:gridSpan w:val="2"/>
            <w:noWrap w:val="0"/>
            <w:vAlign w:val="center"/>
          </w:tcPr>
          <w:p>
            <w:pPr>
              <w:spacing w:line="460" w:lineRule="exact"/>
              <w:jc w:val="center"/>
              <w:rPr>
                <w:rFonts w:hint="eastAsia" w:ascii="仿宋" w:hAnsi="仿宋" w:eastAsia="仿宋"/>
                <w:sz w:val="24"/>
              </w:rPr>
            </w:pPr>
            <w:r>
              <w:rPr>
                <w:rFonts w:hint="eastAsia" w:ascii="仿宋" w:hAnsi="仿宋" w:eastAsia="仿宋"/>
                <w:sz w:val="24"/>
              </w:rPr>
              <w:t>活动时间</w:t>
            </w:r>
          </w:p>
        </w:tc>
        <w:tc>
          <w:tcPr>
            <w:tcW w:w="1975" w:type="dxa"/>
            <w:noWrap w:val="0"/>
            <w:vAlign w:val="center"/>
          </w:tcPr>
          <w:p>
            <w:pPr>
              <w:spacing w:line="460" w:lineRule="exact"/>
              <w:jc w:val="center"/>
              <w:rPr>
                <w:rFonts w:hint="eastAsia" w:ascii="仿宋" w:hAnsi="仿宋" w:eastAsia="仿宋"/>
                <w:b/>
                <w:sz w:val="24"/>
              </w:rPr>
            </w:pPr>
          </w:p>
        </w:tc>
        <w:tc>
          <w:tcPr>
            <w:tcW w:w="2160" w:type="dxa"/>
            <w:noWrap w:val="0"/>
            <w:vAlign w:val="center"/>
          </w:tcPr>
          <w:p>
            <w:pPr>
              <w:spacing w:line="460" w:lineRule="exact"/>
              <w:jc w:val="center"/>
              <w:rPr>
                <w:rFonts w:hint="eastAsia" w:ascii="仿宋" w:hAnsi="仿宋" w:eastAsia="仿宋"/>
                <w:b/>
                <w:sz w:val="24"/>
              </w:rPr>
            </w:pPr>
            <w:r>
              <w:rPr>
                <w:rFonts w:hint="eastAsia" w:ascii="仿宋" w:hAnsi="仿宋" w:eastAsia="仿宋"/>
                <w:sz w:val="24"/>
              </w:rPr>
              <w:t>活动地点</w:t>
            </w:r>
          </w:p>
        </w:tc>
        <w:tc>
          <w:tcPr>
            <w:tcW w:w="2182" w:type="dxa"/>
            <w:noWrap w:val="0"/>
            <w:vAlign w:val="center"/>
          </w:tcPr>
          <w:p>
            <w:pPr>
              <w:spacing w:line="460" w:lineRule="exact"/>
              <w:jc w:val="center"/>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165" w:type="dxa"/>
            <w:gridSpan w:val="2"/>
            <w:noWrap w:val="0"/>
            <w:vAlign w:val="center"/>
          </w:tcPr>
          <w:p>
            <w:pPr>
              <w:spacing w:line="460" w:lineRule="exact"/>
              <w:jc w:val="center"/>
              <w:rPr>
                <w:rFonts w:hint="eastAsia" w:ascii="仿宋" w:hAnsi="仿宋" w:eastAsia="仿宋"/>
                <w:sz w:val="24"/>
              </w:rPr>
            </w:pPr>
            <w:r>
              <w:rPr>
                <w:rFonts w:hint="eastAsia" w:ascii="仿宋" w:hAnsi="仿宋" w:eastAsia="仿宋"/>
                <w:sz w:val="24"/>
              </w:rPr>
              <w:t>活动举办部门</w:t>
            </w:r>
          </w:p>
        </w:tc>
        <w:tc>
          <w:tcPr>
            <w:tcW w:w="1975" w:type="dxa"/>
            <w:noWrap w:val="0"/>
            <w:vAlign w:val="center"/>
          </w:tcPr>
          <w:p>
            <w:pPr>
              <w:spacing w:line="460" w:lineRule="exact"/>
              <w:jc w:val="center"/>
              <w:rPr>
                <w:rFonts w:hint="eastAsia" w:ascii="仿宋" w:hAnsi="仿宋" w:eastAsia="仿宋"/>
                <w:b/>
                <w:sz w:val="24"/>
              </w:rPr>
            </w:pPr>
          </w:p>
        </w:tc>
        <w:tc>
          <w:tcPr>
            <w:tcW w:w="2160" w:type="dxa"/>
            <w:noWrap w:val="0"/>
            <w:vAlign w:val="center"/>
          </w:tcPr>
          <w:p>
            <w:pPr>
              <w:spacing w:line="460" w:lineRule="exact"/>
              <w:jc w:val="center"/>
              <w:rPr>
                <w:rFonts w:hint="eastAsia" w:ascii="仿宋" w:hAnsi="仿宋" w:eastAsia="仿宋"/>
                <w:b/>
                <w:sz w:val="24"/>
              </w:rPr>
            </w:pPr>
            <w:r>
              <w:rPr>
                <w:rFonts w:hint="eastAsia" w:ascii="仿宋" w:hAnsi="仿宋" w:eastAsia="仿宋"/>
                <w:sz w:val="24"/>
              </w:rPr>
              <w:t>活动参与人数</w:t>
            </w:r>
          </w:p>
        </w:tc>
        <w:tc>
          <w:tcPr>
            <w:tcW w:w="2182" w:type="dxa"/>
            <w:noWrap w:val="0"/>
            <w:vAlign w:val="center"/>
          </w:tcPr>
          <w:p>
            <w:pPr>
              <w:spacing w:line="460" w:lineRule="exact"/>
              <w:jc w:val="center"/>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0" w:hRule="atLeast"/>
        </w:trPr>
        <w:tc>
          <w:tcPr>
            <w:tcW w:w="902" w:type="dxa"/>
            <w:noWrap w:val="0"/>
            <w:textDirection w:val="tbRlV"/>
            <w:vAlign w:val="center"/>
          </w:tcPr>
          <w:p>
            <w:pPr>
              <w:spacing w:line="460" w:lineRule="exact"/>
              <w:ind w:left="113" w:leftChars="54" w:right="113" w:firstLine="120" w:firstLineChars="50"/>
              <w:jc w:val="center"/>
              <w:rPr>
                <w:rFonts w:hint="default" w:ascii="仿宋_GB2312" w:hAnsi="仿宋" w:eastAsia="仿宋_GB2312"/>
                <w:sz w:val="24"/>
                <w:lang w:val="en-US" w:eastAsia="zh-CN"/>
              </w:rPr>
            </w:pPr>
            <w:r>
              <w:rPr>
                <w:rFonts w:hint="eastAsia" w:ascii="仿宋_GB2312" w:hAnsi="仿宋" w:eastAsia="仿宋_GB2312"/>
                <w:sz w:val="24"/>
                <w:lang w:val="en-US" w:eastAsia="zh-CN"/>
              </w:rPr>
              <w:t>组织建设和思想政治教育活动开展情况</w:t>
            </w:r>
          </w:p>
        </w:tc>
        <w:tc>
          <w:tcPr>
            <w:tcW w:w="7580" w:type="dxa"/>
            <w:gridSpan w:val="4"/>
            <w:noWrap w:val="0"/>
            <w:vAlign w:val="center"/>
          </w:tcPr>
          <w:p>
            <w:pPr>
              <w:spacing w:line="460" w:lineRule="exact"/>
              <w:jc w:val="center"/>
              <w:rPr>
                <w:rFonts w:hint="eastAsia" w:ascii="仿宋_GB2312" w:hAnsi="仿宋" w:eastAsia="仿宋_GB2312"/>
                <w:b/>
                <w:sz w:val="24"/>
              </w:rPr>
            </w:pPr>
          </w:p>
          <w:p>
            <w:pPr>
              <w:spacing w:line="460" w:lineRule="exact"/>
              <w:jc w:val="center"/>
              <w:rPr>
                <w:rFonts w:hint="eastAsia" w:ascii="仿宋_GB2312" w:hAnsi="仿宋" w:eastAsia="仿宋_GB2312"/>
                <w:b/>
                <w:sz w:val="24"/>
              </w:rPr>
            </w:pPr>
          </w:p>
          <w:p>
            <w:pPr>
              <w:spacing w:line="460" w:lineRule="exact"/>
              <w:rPr>
                <w:rFonts w:hint="eastAsia" w:ascii="仿宋_GB2312" w:hAnsi="仿宋" w:eastAsia="仿宋_GB2312"/>
                <w:b/>
                <w:sz w:val="24"/>
              </w:rPr>
            </w:pPr>
          </w:p>
          <w:p>
            <w:pPr>
              <w:spacing w:line="460" w:lineRule="exact"/>
              <w:rPr>
                <w:rFonts w:hint="eastAsia" w:ascii="仿宋_GB2312" w:hAnsi="仿宋" w:eastAsia="仿宋_GB2312"/>
                <w:b/>
                <w:sz w:val="24"/>
              </w:rPr>
            </w:pPr>
          </w:p>
          <w:p>
            <w:pPr>
              <w:spacing w:line="460" w:lineRule="exact"/>
              <w:ind w:firstLine="4200" w:firstLineChars="1750"/>
              <w:rPr>
                <w:rFonts w:hint="eastAsia" w:ascii="仿宋" w:hAnsi="仿宋" w:eastAsia="仿宋"/>
                <w:sz w:val="24"/>
              </w:rPr>
            </w:pPr>
            <w:r>
              <w:rPr>
                <w:rFonts w:hint="eastAsia" w:ascii="仿宋" w:hAnsi="仿宋" w:eastAsia="仿宋"/>
                <w:sz w:val="24"/>
              </w:rPr>
              <w:t>（签章）</w:t>
            </w:r>
          </w:p>
          <w:p>
            <w:pPr>
              <w:spacing w:line="460" w:lineRule="exact"/>
              <w:ind w:firstLine="3600" w:firstLineChars="1500"/>
              <w:jc w:val="center"/>
              <w:rPr>
                <w:rFonts w:hint="eastAsia" w:ascii="仿宋_GB2312" w:hAnsi="仿宋" w:eastAsia="仿宋_GB2312"/>
                <w:sz w:val="24"/>
              </w:rPr>
            </w:pPr>
            <w:r>
              <w:rPr>
                <w:rFonts w:hint="eastAsia" w:ascii="仿宋" w:hAnsi="仿宋" w:eastAsia="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9" w:hRule="atLeast"/>
        </w:trPr>
        <w:tc>
          <w:tcPr>
            <w:tcW w:w="902" w:type="dxa"/>
            <w:noWrap w:val="0"/>
            <w:textDirection w:val="tbRlV"/>
            <w:vAlign w:val="center"/>
          </w:tcPr>
          <w:p>
            <w:pPr>
              <w:spacing w:line="460" w:lineRule="exact"/>
              <w:ind w:left="113" w:leftChars="54" w:right="113" w:firstLine="120" w:firstLineChars="50"/>
              <w:jc w:val="center"/>
              <w:rPr>
                <w:rFonts w:hint="eastAsia" w:ascii="仿宋_GB2312" w:hAnsi="仿宋" w:eastAsia="仿宋_GB2312"/>
                <w:sz w:val="24"/>
              </w:rPr>
            </w:pPr>
            <w:r>
              <w:rPr>
                <w:rFonts w:hint="eastAsia" w:ascii="仿宋_GB2312" w:hAnsi="仿宋" w:eastAsia="仿宋_GB2312"/>
                <w:sz w:val="24"/>
              </w:rPr>
              <w:t>学 院 意 见</w:t>
            </w:r>
          </w:p>
        </w:tc>
        <w:tc>
          <w:tcPr>
            <w:tcW w:w="7580" w:type="dxa"/>
            <w:gridSpan w:val="4"/>
            <w:noWrap w:val="0"/>
            <w:vAlign w:val="center"/>
          </w:tcPr>
          <w:p>
            <w:pPr>
              <w:spacing w:line="460" w:lineRule="exact"/>
              <w:rPr>
                <w:rFonts w:hint="eastAsia" w:ascii="仿宋_GB2312" w:hAnsi="仿宋" w:eastAsia="仿宋_GB2312"/>
                <w:b/>
                <w:sz w:val="24"/>
              </w:rPr>
            </w:pPr>
          </w:p>
          <w:p>
            <w:pPr>
              <w:spacing w:line="460" w:lineRule="exact"/>
              <w:jc w:val="center"/>
              <w:rPr>
                <w:rFonts w:hint="eastAsia" w:ascii="仿宋_GB2312" w:hAnsi="仿宋" w:eastAsia="仿宋_GB2312"/>
                <w:b/>
                <w:sz w:val="24"/>
              </w:rPr>
            </w:pPr>
          </w:p>
          <w:p>
            <w:pPr>
              <w:spacing w:line="460" w:lineRule="exact"/>
              <w:ind w:firstLine="4200" w:firstLineChars="1750"/>
              <w:rPr>
                <w:rFonts w:hint="eastAsia" w:ascii="仿宋" w:hAnsi="仿宋" w:eastAsia="仿宋"/>
                <w:sz w:val="24"/>
              </w:rPr>
            </w:pPr>
            <w:r>
              <w:rPr>
                <w:rFonts w:hint="eastAsia" w:ascii="仿宋" w:hAnsi="仿宋" w:eastAsia="仿宋"/>
                <w:sz w:val="24"/>
              </w:rPr>
              <w:t>（签章）</w:t>
            </w:r>
          </w:p>
          <w:p>
            <w:pPr>
              <w:spacing w:line="460" w:lineRule="exact"/>
              <w:ind w:firstLine="3600" w:firstLineChars="1500"/>
              <w:jc w:val="center"/>
              <w:rPr>
                <w:rFonts w:hint="eastAsia" w:ascii="仿宋_GB2312" w:hAnsi="仿宋" w:eastAsia="仿宋_GB2312"/>
                <w:b/>
                <w:sz w:val="24"/>
              </w:rPr>
            </w:pPr>
            <w:r>
              <w:rPr>
                <w:rFonts w:hint="eastAsia" w:ascii="仿宋" w:hAnsi="仿宋" w:eastAsia="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4" w:hRule="atLeast"/>
        </w:trPr>
        <w:tc>
          <w:tcPr>
            <w:tcW w:w="902" w:type="dxa"/>
            <w:noWrap w:val="0"/>
            <w:textDirection w:val="tbRlV"/>
            <w:vAlign w:val="center"/>
          </w:tcPr>
          <w:p>
            <w:pPr>
              <w:spacing w:line="460" w:lineRule="exact"/>
              <w:ind w:right="113"/>
              <w:jc w:val="center"/>
              <w:rPr>
                <w:rFonts w:hint="eastAsia" w:ascii="仿宋_GB2312" w:hAnsi="仿宋" w:eastAsia="仿宋_GB2312"/>
                <w:sz w:val="24"/>
              </w:rPr>
            </w:pPr>
            <w:r>
              <w:rPr>
                <w:rFonts w:hint="eastAsia" w:ascii="仿宋_GB2312" w:hAnsi="仿宋" w:eastAsia="仿宋_GB2312"/>
                <w:sz w:val="24"/>
              </w:rPr>
              <w:t>党委研工部意见</w:t>
            </w:r>
          </w:p>
        </w:tc>
        <w:tc>
          <w:tcPr>
            <w:tcW w:w="7580" w:type="dxa"/>
            <w:gridSpan w:val="4"/>
            <w:noWrap w:val="0"/>
            <w:vAlign w:val="center"/>
          </w:tcPr>
          <w:p>
            <w:pPr>
              <w:spacing w:line="460" w:lineRule="exact"/>
              <w:rPr>
                <w:rFonts w:hint="eastAsia" w:ascii="仿宋_GB2312" w:hAnsi="仿宋" w:eastAsia="仿宋_GB2312"/>
                <w:sz w:val="24"/>
              </w:rPr>
            </w:pPr>
          </w:p>
          <w:p>
            <w:pPr>
              <w:spacing w:line="460" w:lineRule="exact"/>
              <w:ind w:right="480" w:firstLine="4200" w:firstLineChars="1750"/>
              <w:rPr>
                <w:rFonts w:hint="eastAsia" w:ascii="仿宋" w:hAnsi="仿宋" w:eastAsia="仿宋"/>
                <w:sz w:val="24"/>
              </w:rPr>
            </w:pPr>
            <w:r>
              <w:rPr>
                <w:rFonts w:hint="eastAsia" w:ascii="仿宋" w:hAnsi="仿宋" w:eastAsia="仿宋"/>
                <w:sz w:val="24"/>
              </w:rPr>
              <w:t>（签章）</w:t>
            </w:r>
          </w:p>
          <w:p>
            <w:pPr>
              <w:spacing w:line="460" w:lineRule="exact"/>
              <w:ind w:right="480" w:firstLine="3600" w:firstLineChars="1500"/>
              <w:jc w:val="center"/>
              <w:rPr>
                <w:rFonts w:hint="eastAsia" w:ascii="仿宋_GB2312" w:hAnsi="仿宋" w:eastAsia="仿宋_GB2312"/>
                <w:b/>
                <w:sz w:val="24"/>
              </w:rPr>
            </w:pPr>
            <w:r>
              <w:rPr>
                <w:rFonts w:hint="eastAsia" w:ascii="仿宋" w:hAnsi="仿宋" w:eastAsia="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2" w:hRule="atLeast"/>
        </w:trPr>
        <w:tc>
          <w:tcPr>
            <w:tcW w:w="902" w:type="dxa"/>
            <w:noWrap w:val="0"/>
            <w:textDirection w:val="tbRlV"/>
            <w:vAlign w:val="center"/>
          </w:tcPr>
          <w:p>
            <w:pPr>
              <w:spacing w:line="460" w:lineRule="exact"/>
              <w:ind w:left="113" w:right="113"/>
              <w:jc w:val="center"/>
              <w:rPr>
                <w:rFonts w:hint="eastAsia" w:ascii="仿宋_GB2312" w:hAnsi="仿宋" w:eastAsia="仿宋_GB2312"/>
                <w:sz w:val="24"/>
              </w:rPr>
            </w:pPr>
            <w:r>
              <w:rPr>
                <w:rFonts w:hint="eastAsia" w:ascii="仿宋_GB2312" w:hAnsi="仿宋" w:eastAsia="仿宋_GB2312"/>
                <w:sz w:val="24"/>
              </w:rPr>
              <w:t>备注</w:t>
            </w:r>
          </w:p>
        </w:tc>
        <w:tc>
          <w:tcPr>
            <w:tcW w:w="7580" w:type="dxa"/>
            <w:gridSpan w:val="4"/>
            <w:noWrap w:val="0"/>
            <w:vAlign w:val="center"/>
          </w:tcPr>
          <w:p>
            <w:pPr>
              <w:spacing w:line="460" w:lineRule="exact"/>
              <w:jc w:val="center"/>
              <w:rPr>
                <w:rFonts w:hint="eastAsia" w:ascii="仿宋_GB2312" w:hAnsi="仿宋" w:eastAsia="仿宋_GB2312"/>
                <w:b/>
                <w:sz w:val="24"/>
              </w:rPr>
            </w:pPr>
          </w:p>
        </w:tc>
      </w:tr>
    </w:tbl>
    <w:p>
      <w:pPr>
        <w:spacing w:line="460" w:lineRule="exact"/>
      </w:pPr>
      <w:r>
        <w:rPr>
          <w:rFonts w:hint="eastAsia" w:ascii="仿宋_GB2312" w:hAnsi="仿宋" w:eastAsia="仿宋_GB2312"/>
          <w:szCs w:val="21"/>
        </w:rPr>
        <w:t>说明： 1.</w:t>
      </w:r>
      <w:r>
        <w:rPr>
          <w:rFonts w:hint="eastAsia" w:ascii="仿宋_GB2312" w:hAnsi="仿宋" w:eastAsia="仿宋_GB2312"/>
          <w:color w:val="000000"/>
          <w:szCs w:val="21"/>
        </w:rPr>
        <w:t xml:space="preserve"> 此表同其他申报材料一并上报</w:t>
      </w:r>
      <w:r>
        <w:rPr>
          <w:rFonts w:hint="eastAsia" w:ascii="仿宋_GB2312" w:hAnsi="仿宋" w:eastAsia="仿宋_GB2312"/>
          <w:szCs w:val="21"/>
        </w:rPr>
        <w:t>。2.此表可附页。</w:t>
      </w:r>
      <w:r>
        <w:rPr>
          <w:rFonts w:hint="eastAsia" w:ascii="仿宋_GB2312" w:hAnsi="仿宋" w:eastAsia="仿宋_GB2312"/>
          <w:b/>
          <w:bCs/>
          <w:sz w:val="24"/>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YTdmNWQ3MTYwYWI1ODhkMWY1NjNhZjkwOTg5ZTkifQ=="/>
  </w:docVars>
  <w:rsids>
    <w:rsidRoot w:val="6FDF3817"/>
    <w:rsid w:val="000F275D"/>
    <w:rsid w:val="001E5EF6"/>
    <w:rsid w:val="00382949"/>
    <w:rsid w:val="01037EB1"/>
    <w:rsid w:val="017D0BDA"/>
    <w:rsid w:val="0344779B"/>
    <w:rsid w:val="03AE18ED"/>
    <w:rsid w:val="05C43DE8"/>
    <w:rsid w:val="05CE4162"/>
    <w:rsid w:val="06750D3C"/>
    <w:rsid w:val="07C92723"/>
    <w:rsid w:val="07DE37BA"/>
    <w:rsid w:val="082F33D3"/>
    <w:rsid w:val="08440163"/>
    <w:rsid w:val="08512156"/>
    <w:rsid w:val="09D07C2D"/>
    <w:rsid w:val="09D80FB3"/>
    <w:rsid w:val="0AC05B6E"/>
    <w:rsid w:val="0B852AA5"/>
    <w:rsid w:val="0B942BEB"/>
    <w:rsid w:val="0D772ADC"/>
    <w:rsid w:val="0DD813B8"/>
    <w:rsid w:val="0FD0200A"/>
    <w:rsid w:val="107E2558"/>
    <w:rsid w:val="10956AD9"/>
    <w:rsid w:val="10FD5E1F"/>
    <w:rsid w:val="11720DC3"/>
    <w:rsid w:val="118258D5"/>
    <w:rsid w:val="11F2128F"/>
    <w:rsid w:val="123E119B"/>
    <w:rsid w:val="128D5551"/>
    <w:rsid w:val="12D621E0"/>
    <w:rsid w:val="1484432C"/>
    <w:rsid w:val="161E4CE3"/>
    <w:rsid w:val="1625195F"/>
    <w:rsid w:val="16330F6D"/>
    <w:rsid w:val="16864D40"/>
    <w:rsid w:val="16934FF6"/>
    <w:rsid w:val="16FA243B"/>
    <w:rsid w:val="170D14EB"/>
    <w:rsid w:val="17585C55"/>
    <w:rsid w:val="17E96B48"/>
    <w:rsid w:val="19042CFD"/>
    <w:rsid w:val="19B13E41"/>
    <w:rsid w:val="1A0C7018"/>
    <w:rsid w:val="1A202612"/>
    <w:rsid w:val="1A6F6A45"/>
    <w:rsid w:val="1A743A6E"/>
    <w:rsid w:val="1AA02169"/>
    <w:rsid w:val="1B574C8D"/>
    <w:rsid w:val="1B9840F5"/>
    <w:rsid w:val="1BF90DF9"/>
    <w:rsid w:val="1C7E18DF"/>
    <w:rsid w:val="1CA648EA"/>
    <w:rsid w:val="1D643BA1"/>
    <w:rsid w:val="1D7C49F2"/>
    <w:rsid w:val="1DD0558B"/>
    <w:rsid w:val="1E0853AE"/>
    <w:rsid w:val="1E3539CD"/>
    <w:rsid w:val="1E650D77"/>
    <w:rsid w:val="1EC51445"/>
    <w:rsid w:val="1F7055A8"/>
    <w:rsid w:val="1F85058C"/>
    <w:rsid w:val="1FA24681"/>
    <w:rsid w:val="1FA57682"/>
    <w:rsid w:val="20840234"/>
    <w:rsid w:val="20A9533C"/>
    <w:rsid w:val="213E4057"/>
    <w:rsid w:val="21F90642"/>
    <w:rsid w:val="22317F31"/>
    <w:rsid w:val="24321C5A"/>
    <w:rsid w:val="24827B09"/>
    <w:rsid w:val="25836E2D"/>
    <w:rsid w:val="25AD5EBB"/>
    <w:rsid w:val="267C0E48"/>
    <w:rsid w:val="29347265"/>
    <w:rsid w:val="29783185"/>
    <w:rsid w:val="2B4D4A07"/>
    <w:rsid w:val="2B531D70"/>
    <w:rsid w:val="2C76552A"/>
    <w:rsid w:val="2C8D0E97"/>
    <w:rsid w:val="2CC01D1B"/>
    <w:rsid w:val="2CF34AE9"/>
    <w:rsid w:val="2DB809AD"/>
    <w:rsid w:val="2E4B71FD"/>
    <w:rsid w:val="2EA17E7F"/>
    <w:rsid w:val="30907B01"/>
    <w:rsid w:val="30C0648F"/>
    <w:rsid w:val="312433E8"/>
    <w:rsid w:val="31B27F88"/>
    <w:rsid w:val="32EF2ACC"/>
    <w:rsid w:val="332D64F5"/>
    <w:rsid w:val="33825A06"/>
    <w:rsid w:val="338F63D2"/>
    <w:rsid w:val="33EC69CB"/>
    <w:rsid w:val="344761F1"/>
    <w:rsid w:val="347D06ED"/>
    <w:rsid w:val="349F09A3"/>
    <w:rsid w:val="34AE453F"/>
    <w:rsid w:val="355B1C25"/>
    <w:rsid w:val="356F6C13"/>
    <w:rsid w:val="35AB632C"/>
    <w:rsid w:val="36FA1206"/>
    <w:rsid w:val="375F6338"/>
    <w:rsid w:val="39133C64"/>
    <w:rsid w:val="391F0E3F"/>
    <w:rsid w:val="3AF90A3D"/>
    <w:rsid w:val="3B5333AE"/>
    <w:rsid w:val="3CD12634"/>
    <w:rsid w:val="3D855740"/>
    <w:rsid w:val="3DD565A5"/>
    <w:rsid w:val="3E231896"/>
    <w:rsid w:val="3E483EA8"/>
    <w:rsid w:val="403A5790"/>
    <w:rsid w:val="40773C64"/>
    <w:rsid w:val="41194CD9"/>
    <w:rsid w:val="41230F86"/>
    <w:rsid w:val="4123619A"/>
    <w:rsid w:val="4388511B"/>
    <w:rsid w:val="44DE3899"/>
    <w:rsid w:val="44EA7F23"/>
    <w:rsid w:val="45546B7B"/>
    <w:rsid w:val="46F6765E"/>
    <w:rsid w:val="47254F1F"/>
    <w:rsid w:val="47EA130F"/>
    <w:rsid w:val="481103B3"/>
    <w:rsid w:val="483C1B93"/>
    <w:rsid w:val="48726E81"/>
    <w:rsid w:val="48910085"/>
    <w:rsid w:val="49145EB7"/>
    <w:rsid w:val="4922640E"/>
    <w:rsid w:val="49714B62"/>
    <w:rsid w:val="49CB6A07"/>
    <w:rsid w:val="4A696FA8"/>
    <w:rsid w:val="4B1367E8"/>
    <w:rsid w:val="4B381A42"/>
    <w:rsid w:val="4C1E027E"/>
    <w:rsid w:val="4D4302C1"/>
    <w:rsid w:val="4D7056BF"/>
    <w:rsid w:val="4DC519F1"/>
    <w:rsid w:val="4FE26D16"/>
    <w:rsid w:val="50260E29"/>
    <w:rsid w:val="50A37C25"/>
    <w:rsid w:val="52002396"/>
    <w:rsid w:val="52A61569"/>
    <w:rsid w:val="52C120A1"/>
    <w:rsid w:val="53143F98"/>
    <w:rsid w:val="537F758A"/>
    <w:rsid w:val="54642723"/>
    <w:rsid w:val="55503AE5"/>
    <w:rsid w:val="55A26ABE"/>
    <w:rsid w:val="56002B3C"/>
    <w:rsid w:val="56062A7E"/>
    <w:rsid w:val="56D774C6"/>
    <w:rsid w:val="577B3EE6"/>
    <w:rsid w:val="582053BF"/>
    <w:rsid w:val="58352B69"/>
    <w:rsid w:val="5852366F"/>
    <w:rsid w:val="59E70056"/>
    <w:rsid w:val="5A152FC7"/>
    <w:rsid w:val="5A4D1EB0"/>
    <w:rsid w:val="5A936D98"/>
    <w:rsid w:val="5C4C1ACB"/>
    <w:rsid w:val="5CEE5F5B"/>
    <w:rsid w:val="5D014374"/>
    <w:rsid w:val="5D090257"/>
    <w:rsid w:val="5D157FCF"/>
    <w:rsid w:val="5DD64CC6"/>
    <w:rsid w:val="5E76712F"/>
    <w:rsid w:val="5EF7011C"/>
    <w:rsid w:val="603E7F3B"/>
    <w:rsid w:val="604477A1"/>
    <w:rsid w:val="60614701"/>
    <w:rsid w:val="60705EF6"/>
    <w:rsid w:val="608D17F9"/>
    <w:rsid w:val="6151012A"/>
    <w:rsid w:val="61F91A79"/>
    <w:rsid w:val="62423840"/>
    <w:rsid w:val="62DB1806"/>
    <w:rsid w:val="633965A0"/>
    <w:rsid w:val="63557126"/>
    <w:rsid w:val="6524061B"/>
    <w:rsid w:val="65C32908"/>
    <w:rsid w:val="660B223E"/>
    <w:rsid w:val="67420F31"/>
    <w:rsid w:val="676C3E8F"/>
    <w:rsid w:val="67DA012F"/>
    <w:rsid w:val="681843FA"/>
    <w:rsid w:val="68606BC4"/>
    <w:rsid w:val="68F46AE4"/>
    <w:rsid w:val="69622F46"/>
    <w:rsid w:val="6A321A61"/>
    <w:rsid w:val="6A3636BA"/>
    <w:rsid w:val="6A573F3C"/>
    <w:rsid w:val="6C23709A"/>
    <w:rsid w:val="6D667951"/>
    <w:rsid w:val="6D715502"/>
    <w:rsid w:val="6DE56C55"/>
    <w:rsid w:val="6E6E16A3"/>
    <w:rsid w:val="6E733EB8"/>
    <w:rsid w:val="6ED66529"/>
    <w:rsid w:val="6F2E0203"/>
    <w:rsid w:val="6F45025B"/>
    <w:rsid w:val="6F994624"/>
    <w:rsid w:val="6FC61747"/>
    <w:rsid w:val="6FDF3817"/>
    <w:rsid w:val="70705A2D"/>
    <w:rsid w:val="707D59EA"/>
    <w:rsid w:val="722F5444"/>
    <w:rsid w:val="73993BF6"/>
    <w:rsid w:val="748B2F54"/>
    <w:rsid w:val="7503602B"/>
    <w:rsid w:val="75B34C52"/>
    <w:rsid w:val="771F5D2D"/>
    <w:rsid w:val="77654CA0"/>
    <w:rsid w:val="77E5562B"/>
    <w:rsid w:val="77FB1D8D"/>
    <w:rsid w:val="78B70A81"/>
    <w:rsid w:val="78FB11C9"/>
    <w:rsid w:val="79201A79"/>
    <w:rsid w:val="7924548F"/>
    <w:rsid w:val="792C41BB"/>
    <w:rsid w:val="79E92647"/>
    <w:rsid w:val="7A882018"/>
    <w:rsid w:val="7C5141AD"/>
    <w:rsid w:val="7C8879E0"/>
    <w:rsid w:val="7D384B75"/>
    <w:rsid w:val="7D751AAA"/>
    <w:rsid w:val="7E333145"/>
    <w:rsid w:val="7EBE410A"/>
    <w:rsid w:val="7EC20B23"/>
    <w:rsid w:val="7F186BF0"/>
    <w:rsid w:val="7F5468C6"/>
    <w:rsid w:val="7FCE00C1"/>
    <w:rsid w:val="7FD2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2024-05-10T05:05:00Z</dcterms:created>
  <dc:creator>左喻</dc:creator>
  <cp:lastModifiedBy>左喻</cp:lastModifiedBy>
  <dcterms:modified xsi:type="dcterms:W3CDTF">2024-05-10T05:05:42Z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4F96735F117C46F0BD6C9E1CF1735FF5_11</vt:lpwstr>
  </property>
</Properties>
</file>